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of Directors - Q3 Strategic Planning &amp; Governance Minutes</w:t>
      </w:r>
    </w:p>
    <w:p>
      <w:r>
        <w:t>Call to Order &amp; Attendance: The quarterly meeting of the Board of Directors convened on September 4th. The committee reviewed governance compliance, fiduciary responsibilities, and strategic milestones.</w:t>
      </w:r>
    </w:p>
    <w:p>
      <w:r>
        <w:t>International Market Expansion: The board unanimously authorized geographic expansion into the European Union, allocating an initial operational budget of $2.4M. General Counsel confirmed that all data governance pipelines satisfy General Data Protection Regulation (GDPR) data sovereignty mandates.</w:t>
      </w:r>
    </w:p>
    <w:p>
      <w:r>
        <w:t>Intellectual Property &amp; Patents: The Vice President of Engineering reported that three patent applications surrounding hybrid vector-keyword dynamic routing and personalized recency decay indexing have been formally filed with the United States Patent and Trademark Office (USPTO).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