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Patterns for Resilient Cloud-Native Microservices</w:t>
      </w:r>
    </w:p>
    <w:p>
      <w:r>
        <w:t>Transitioning from monolithic applications to distributed microservices architectures introduces distinct resilience challenges. Network partitions, slow downstream dependencies, and cascading failures can compromise entire systems if defensive engineering patterns are not implemented.</w:t>
      </w:r>
    </w:p>
    <w:p>
      <w:r>
        <w:t>Circuit Breaker Pattern: A circuit breaker wraps remote network calls, tracking failure rates. When failures exceed a threshold, the breaker trips OPEN, immediately rejecting subsequent calls without burdening the failing service. After a timeout, it enters HALF-OPEN state to test service recovery.</w:t>
      </w:r>
    </w:p>
    <w:p>
      <w:r>
        <w:t>Bulkhead Pattern: Isolate resource pools (such as thread pools or memory buffers) so that a failure in one service domain does not exhaust resources required by healthy subsystems. Combined with exponential backoff jitter and client-side timeouts, services maintain graceful degradation.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