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Undergraduate Senior Honors Thesis Outline: Local-First Vector Indexing</w:t>
      </w:r>
    </w:p>
    <w:p>
      <w:r>
        <w:t>Candidate: Alex Chen. Advisor: Dr. Raymond Vance. Department of Computer Science.</w:t>
      </w:r>
    </w:p>
    <w:p>
      <w:r>
        <w:t>Thesis Title: Resource-Constrained Vector Retrieval and Hybrid Search on Edge Devices.</w:t>
      </w:r>
    </w:p>
    <w:p>
      <w:r>
        <w:t>Chapter 1: Introduction. Motivation for local-first computing: data privacy, zero recurring cloud inference costs, and offline utility. Problem statement: Embedding transformers and vector indexes consume significant RAM and CPU cycles on consumer hardware.</w:t>
      </w:r>
    </w:p>
    <w:p>
      <w:r>
        <w:t>Chapter 2: Related Work. Survey of Approximate Nearest Neighbor (ANN) algorithms: HNSW graphs, Inverted File (IVF) indexes, and Product Quantization. Trade-offs between index build latency, memory footprint, and recall accuracy.</w:t>
      </w:r>
    </w:p>
    <w:p>
      <w:r>
        <w:t>Chapter 3: System Architecture. Design of Compass: hybrid fusion engine combining SQLite FTS5 inverted index with ONNX-quantized MiniLM.</w:t>
      </w:r>
    </w:p>
    <w:p>
      <w:r>
        <w:t>Chapter 4: Empirical Evaluation and Benchmarks. Precision-Recall curves, latency distributions, and memory profiling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