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Gradient Descent Optimization Algorithms: A Comparative Study</w:t>
      </w:r>
    </w:p>
    <w:p>
      <w:r>
        <w:t>Training modern deep neural networks requires optimizing high-dimensional non-convex objective loss surfaces. Standard Stochastic Gradient Descent (SGD) updates parameters in the direction of the negative gradient computed over a mini-batch of samples. While simple, SGD suffers from slow progress along ravines where surface curves much more steeply than along the ravine floor.</w:t>
      </w:r>
    </w:p>
    <w:p>
      <w:r>
        <w:t>Momentum methods accelerate SGD by accumulating exponentially decaying moving averages of past gradients, dampening oscillations and speeding through plateau regions. Adaptive gradient algorithms, such as AdaGrad, dynamically scale learning rates inversely proportional to the square root of the sum of past squared gradients. RMSprop and Adam (Adaptive Moment Estimation) improve upon AdaGrad by tracking both first (mean) and second (uncentered variance) moments with bias corrections, making them the standard default optimizer.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