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Horizontal Database Sharding Strategies and Rebalancing</w:t>
      </w:r>
    </w:p>
    <w:p>
      <w:r>
        <w:t>When dataset size and query write throughput exceed the physical constraints of a single database server, organizations must partition data horizontally across independent database instances known as shards. Choosing the right shard key is critical.</w:t>
      </w:r>
    </w:p>
    <w:p>
      <w:r>
        <w:t>Range-based Sharding: Assigns contiguous ranges of keys to specific shards (e.g., user IDs 1-1000000 on Shard A). While range queries are efficient, this approach frequently creates hot-spotting when newly created sequential IDs disproportionately bombard the latest shard.</w:t>
      </w:r>
    </w:p>
    <w:p>
      <w:r>
        <w:t>Hash-based Sharding and Consistent Hashing: Hash-based partitioning maps keys to shards using hash functions. Consistent hashing arranges shards along a virtual ring structure. When nodes are added or removed, only K/N keys need to be migrated, minimizing rebalancing churn.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