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Engineering Standards: RESTful API Design and Error Handling</w:t>
      </w:r>
    </w:p>
    <w:p>
      <w:r>
        <w:t>This document establishes internal standards for designing RESTful HTTP APIs across backend microservices.</w:t>
      </w:r>
    </w:p>
    <w:p>
      <w:r>
        <w:t>Resource Naming Conventions: Use plural nouns for resources (/api/users, /api/documents). Sub-resources represent hierarchical relationships (/api/users/{id}/orders). HTTP verbs specify actions: GET for retrieval (safe, idempotent), POST for creation, PUT for complete replacement, PATCH for partial modification, and DELETE for removal.</w:t>
      </w:r>
    </w:p>
    <w:p>
      <w:r>
        <w:t>Idempotency and Safety: Mutating POST endpoints supporting payment or creation actions must accept an Idempotency-Key header. The server caches successful responses keyed by the token to guarantee that client network retries do not trigger duplicate processing.</w:t>
      </w:r>
    </w:p>
    <w:p>
      <w:r>
        <w:t>Error Payloads: APIs must return structured JSON error payloads containing code, human-readable message, and optional details array. Use standard HTTP status codes: 400 Bad Request, 401 Unauthorized, 403 Forbidden, 404 Not Found, 409 Conflict, 429 Too Many Requests.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