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AND CONFIDENTIALITY AGREEMENT</w:t>
      </w:r>
    </w:p>
    <w:p>
      <w:r>
        <w:t xml:space="preserve">This Mutual Non-Disclosure Agreement (the "Agreement") is executed on this </w:t>
      </w:r>
      <w:r>
        <w:rPr>
          <w:b/>
        </w:rPr>
        <w:t>15th day of May, 2026</w:t>
      </w:r>
      <w:r>
        <w:t>, at Hyderabad, Telangana, India.</w:t>
      </w:r>
    </w:p>
    <w:p>
      <w:pPr>
        <w:pStyle w:val="Heading2"/>
      </w:pPr>
      <w:r>
        <w:t>BY AND BETWEEN</w:t>
      </w:r>
    </w:p>
    <w:p>
      <w:r>
        <w:t>Nova Labs Pvt. Ltd., a private limited company incorporated under the Companies Act, 2013, having its corporate registered office at Hitec City, Hyderabad, Telangana, 500081 (hereinafter referred to as the "Disclosing Party");</w:t>
        <w:br/>
        <w:br/>
        <w:t>AND:</w:t>
        <w:br/>
        <w:t>Orbit Systems LLP, a limited liability partnership registered under the Limited Liability Partnership Act, 2008, having its principal office at Whitefield, Bengaluru, Karnataka, 560066 (hereinafter referred to as the "Receiving Party").</w:t>
      </w:r>
    </w:p>
    <w:p>
      <w:pPr>
        <w:pStyle w:val="Heading2"/>
      </w:pPr>
      <w:r>
        <w:t>1. DEFINITION OF CONFIDENTIAL INFORMATION</w:t>
      </w:r>
    </w:p>
    <w:p>
      <w:r>
        <w:t>Confidential Information includes all technical, business, financial, software, source code, trade secrets, and client data disclosed by either party, whether in oral, written, magnetic, or electronic format. Information shall be protected whether marked proprietary or reasonably understood to be confidential.</w:t>
      </w:r>
    </w:p>
    <w:p>
      <w:pPr>
        <w:pStyle w:val="Heading2"/>
      </w:pPr>
      <w:r>
        <w:t>2. NON-DISCLOSURE AND NON-USE OBLIGATIONS</w:t>
      </w:r>
    </w:p>
    <w:p>
      <w:r>
        <w:t>The Receiving Party shall maintain all Confidential Information in strict confidence using the highest standard of care. The Receiving Party shall not disclose, publish, or disseminate any proprietary data to any third party without the prior written consent of the Disclosing Party. The Receiving Party shall limit access solely to its key employees with a strict need-to-know.</w:t>
      </w:r>
    </w:p>
    <w:p>
      <w:pPr>
        <w:pStyle w:val="Heading2"/>
      </w:pPr>
      <w:r>
        <w:t>3. DURATION AND TERM OF CONFIDENTIALITY</w:t>
      </w:r>
    </w:p>
    <w:p>
      <w:r>
        <w:t>This Agreement and all obligations of confidentiality herein shall remain in full force and effect for a period of three (3) years from the effective date of execution.</w:t>
      </w:r>
    </w:p>
    <w:p>
      <w:pPr>
        <w:pStyle w:val="Heading2"/>
      </w:pPr>
      <w:r>
        <w:t>4. RETURN OR DESTRUCTION OF CONFIDENTIAL MATERIAL</w:t>
      </w:r>
    </w:p>
    <w:p>
      <w:r>
        <w:t>Upon written demand by the Disclosing Party or upon expiration of discussions, the Receiving Party shall, within ten (10) days, return or certify the permanent destruction of all original and copied confidential documents, electronic files, summaries, notes, and backup media.</w:t>
      </w:r>
    </w:p>
    <w:p>
      <w:pPr>
        <w:pStyle w:val="Heading2"/>
      </w:pPr>
      <w:r>
        <w:t>5. REMEDIES AND INJUNCTIVE RELIEF</w:t>
      </w:r>
    </w:p>
    <w:p>
      <w:r>
        <w:t>Both parties acknowledge that unauthorized disclosure causes irreparable harm for which monetary damages alone would be inadequate. Accordingly, the Disclosing Party shall be entitled to seek immediate injunctive relief and restraining orders from any court of competent jurisdiction.</w:t>
      </w:r>
    </w:p>
    <w:p>
      <w:pPr>
        <w:pStyle w:val="Heading2"/>
      </w:pPr>
      <w:r>
        <w:t>6. GOVERNING LAW AND JURISDICTION</w:t>
      </w:r>
    </w:p>
    <w:p>
      <w:r>
        <w:t>This Agreement shall be construed and governed in accordance with the laws of India. The courts at Bengaluru, Karnataka shall have exclusive jurisdiction over any disputes arising under or relating to this Agreement.</w:t>
      </w:r>
    </w:p>
    <w:p>
      <w:r>
        <w:br/>
        <w:t>For Nova Labs Pvt. Ltd.                         For Orbit Systems LLP</w:t>
        <w:br/>
      </w:r>
      <w:r>
        <w:t>Authorized Director                             Designated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