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PROFESSIONAL SERVICES AGREEMENT (VERSION 1.0)</w:t>
      </w:r>
    </w:p>
    <w:p>
      <w:r>
        <w:t xml:space="preserve">This Master Services Agreement is entered into on </w:t>
      </w:r>
      <w:r>
        <w:rPr>
          <w:b/>
        </w:rPr>
        <w:t>10th January 2026</w:t>
      </w:r>
      <w:r>
        <w:t>, at Mumbai, Maharashtra, India.</w:t>
      </w:r>
    </w:p>
    <w:p>
      <w:pPr>
        <w:pStyle w:val="Heading2"/>
      </w:pPr>
      <w:r>
        <w:t>PARTIES</w:t>
      </w:r>
    </w:p>
    <w:p>
      <w:r>
        <w:t>BETWEEN:</w:t>
        <w:br/>
        <w:t>Apex Digital Solutions Pvt. Ltd., having its principal office at Nariman Point, Mumbai (the "Service Provider");</w:t>
        <w:br/>
        <w:br/>
        <w:t>AND:</w:t>
        <w:br/>
        <w:t>Horizon Retail Enterprises, having its corporate office at Connaught Place, New Delhi (the "Client").</w:t>
      </w:r>
    </w:p>
    <w:p>
      <w:pPr>
        <w:pStyle w:val="Heading2"/>
      </w:pPr>
      <w:r>
        <w:t>1. SCOPE OF SERVICES</w:t>
      </w:r>
    </w:p>
    <w:p>
      <w:r>
        <w:t>The Service Provider shall deliver software engineering, enterprise cloud migration, and IT consulting services.</w:t>
      </w:r>
    </w:p>
    <w:p>
      <w:pPr>
        <w:pStyle w:val="Heading2"/>
      </w:pPr>
      <w:r>
        <w:t>2. SERVICE FEES AND BILLING</w:t>
      </w:r>
    </w:p>
    <w:p>
      <w:r>
        <w:t>The Client shall pay the Service Provider a recurring service fee of INR 120,000 per month. Invoices shall be rendered at the end of each monthly billing cycle.</w:t>
      </w:r>
    </w:p>
    <w:p>
      <w:pPr>
        <w:pStyle w:val="Heading2"/>
      </w:pPr>
      <w:r>
        <w:t>3. PAYMENT PERIOD</w:t>
      </w:r>
    </w:p>
    <w:p>
      <w:r>
        <w:t>The Client shall remit payment within thirty (30) days from the invoice issuance date.</w:t>
      </w:r>
    </w:p>
    <w:p>
      <w:pPr>
        <w:pStyle w:val="Heading2"/>
      </w:pPr>
      <w:r>
        <w:t>4. CONTRACT TERM</w:t>
      </w:r>
    </w:p>
    <w:p>
      <w:r>
        <w:t>This Agreement shall remain valid for an initial term of one (1) year. There shall be no automatic renewal.</w:t>
      </w:r>
    </w:p>
    <w:p>
      <w:pPr>
        <w:pStyle w:val="Heading2"/>
      </w:pPr>
      <w:r>
        <w:t>5. TERMINATION NOTICE</w:t>
      </w:r>
    </w:p>
    <w:p>
      <w:r>
        <w:t>Either party may terminate this Agreement by providing thirty (30) days advance written notice.</w:t>
      </w:r>
    </w:p>
    <w:p>
      <w:pPr>
        <w:pStyle w:val="Heading2"/>
      </w:pPr>
      <w:r>
        <w:t>6. DEFAULT AND TERMINATION CONDITION</w:t>
      </w:r>
    </w:p>
    <w:p>
      <w:r>
        <w:t>Either party may immediately terminate this contract if the other party breaches any obligation under this Agreement.</w:t>
      </w:r>
    </w:p>
    <w:p>
      <w:pPr>
        <w:pStyle w:val="Heading2"/>
      </w:pPr>
      <w:r>
        <w:t>7. LIMITATION OF LIABILITY</w:t>
      </w:r>
    </w:p>
    <w:p>
      <w:r>
        <w:t>The total aggregate liability of either party under this Agreement shall be capped at INR 500,000.</w:t>
      </w:r>
    </w:p>
    <w:p>
      <w:pPr>
        <w:pStyle w:val="Heading2"/>
      </w:pPr>
      <w:r>
        <w:t>8. GOVERNING LAW</w:t>
      </w:r>
    </w:p>
    <w:p>
      <w:r>
        <w:t>This Agreement shall be governed by the laws of India, subject to the jurisdiction of the High Court of Bombay.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