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NOTICE UNDER SECTION 138 OF THE NEGOTIABLE INSTRUMENTS ACT</w:t>
      </w:r>
    </w:p>
    <w:p>
      <w:r>
        <w:t>To,</w:t>
        <w:br/>
        <w:t>Mr. Rajesh Sharma,</w:t>
        <w:br/>
        <w:t>Director, Horizon Enterprises,</w:t>
        <w:br/>
        <w:t>Plot No. 45, Industrial Area, Gurugram.</w:t>
        <w:br/>
        <w:t>Date: 15/02/2026</w:t>
      </w:r>
    </w:p>
    <w:p>
      <w:r>
        <w:t>SUBJECT: STATUTORY LEGAL NOTICE UNDER SECTION 138 READ WITH SECTION 142 OF THE NEGOTIABLE INSTRUMENTS ACT, 1881 FOR DISHONOUR OF CHEQUE.</w:t>
      </w:r>
    </w:p>
    <w:p>
      <w:r>
        <w:t>Sir,</w:t>
        <w:br/>
        <w:t>Under instructions from and on behalf of my client, M/s Sterling Finlease Corp., having its office at Connaught Place, New Delhi, I do hereby serve upon you this formal legal notice:</w:t>
      </w:r>
    </w:p>
    <w:p>
      <w:r>
        <w:t>1. That in discharge of your legally enforceable debt and liability towards consideration for commercial equipment supplied, you had issued Cheque No. 458921 dated 10/01/2026 drawn on State Bank of India for an amount of Rs. 5,00,000/- (Rupees Five Lakhs only).</w:t>
      </w:r>
    </w:p>
    <w:p>
      <w:r>
        <w:t>2. That the said cheque was presented for clearance by my client, but the same was dishonoured and returned unpaid by the bank with the endorsement Funds Insufficient vide Bank Return Memo dated 28/01/2026.</w:t>
      </w:r>
    </w:p>
    <w:p>
      <w:r>
        <w:t>3. That you have committed an offence punishable under Section 138 of the Negotiable Instruments Act, 1881 and Section 420 of the Indian Penal Code.</w:t>
      </w:r>
    </w:p>
    <w:p>
      <w:r>
        <w:t>DEMAND:</w:t>
      </w:r>
    </w:p>
    <w:p>
      <w:r>
        <w:t>You are hereby called upon to pay the said sum of Rs. 5,00,000/- within 15 (fifteen) days of receipt of this statutory notice, failing which my client shall initiate criminal proceedings against you before the Competent Metropolitan Magistrate Court.</w:t>
      </w:r>
    </w:p>
    <w:tbl>
      <w:tblPr>
        <w:tblW w:type="auto" w:w="0"/>
        <w:tblLook w:firstColumn="1" w:firstRow="1" w:lastColumn="0" w:lastRow="0" w:noHBand="0" w:noVBand="1" w:val="04A0"/>
      </w:tblPr>
      <w:tblGrid>
        <w:gridCol w:w="2880"/>
        <w:gridCol w:w="2880"/>
        <w:gridCol w:w="2880"/>
      </w:tblGrid>
      <w:tr>
        <w:tc>
          <w:tcPr>
            <w:tcW w:type="dxa" w:w="2880"/>
          </w:tcPr>
          <w:p>
            <w:r>
              <w:t>Cheque Number</w:t>
            </w:r>
          </w:p>
        </w:tc>
        <w:tc>
          <w:tcPr>
            <w:tcW w:type="dxa" w:w="2880"/>
          </w:tcPr>
          <w:p>
            <w:r>
              <w:t>Bank Name</w:t>
            </w:r>
          </w:p>
        </w:tc>
        <w:tc>
          <w:tcPr>
            <w:tcW w:type="dxa" w:w="2880"/>
          </w:tcPr>
          <w:p>
            <w:r>
              <w:t>Amount (INR)</w:t>
            </w:r>
          </w:p>
        </w:tc>
      </w:tr>
      <w:tr>
        <w:tc>
          <w:tcPr>
            <w:tcW w:type="dxa" w:w="2880"/>
          </w:tcPr>
          <w:p>
            <w:r>
              <w:t>458921</w:t>
            </w:r>
          </w:p>
        </w:tc>
        <w:tc>
          <w:tcPr>
            <w:tcW w:type="dxa" w:w="2880"/>
          </w:tcPr>
          <w:p>
            <w:r>
              <w:t>State Bank of India</w:t>
            </w:r>
          </w:p>
        </w:tc>
        <w:tc>
          <w:tcPr>
            <w:tcW w:type="dxa" w:w="2880"/>
          </w:tcPr>
          <w:p>
            <w:r>
              <w:t>Rs. 5,00,000/-</w:t>
            </w:r>
          </w:p>
        </w:tc>
      </w:tr>
    </w:tbl>
    <w:p>
      <w:r>
        <w:br/>
        <w:t>Yours faithfully,</w:t>
        <w:br/>
        <w:t>Advocate K. V. Ramanathan,</w:t>
        <w:br/>
        <w:t>Supreme Court of India Bar Association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