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keepNext/>
        <w:spacing w:after="80"/>
        <w:jc w:val="center"/>
      </w:pPr>
      <w:r>
        <w:rPr>
          <w:rFonts w:ascii="Trebuchet MS" w:hAnsi="Trebuchet MS"/>
          <w:b w:val="0"/>
          <w:i w:val="0"/>
          <w:color w:val="1A1A1A"/>
          <w:sz w:val="44"/>
        </w:rPr>
        <w:t>UE22CS441A – Capstone Project Phase – 3</w:t>
      </w:r>
    </w:p>
    <w:p>
      <w:pPr>
        <w:keepNext/>
        <w:spacing w:after="80"/>
        <w:jc w:val="center"/>
      </w:pPr>
      <w:r>
        <w:rPr>
          <w:rFonts w:ascii="Trebuchet MS" w:hAnsi="Trebuchet MS"/>
          <w:b/>
          <w:i w:val="0"/>
          <w:color w:val="BD582C"/>
          <w:sz w:val="44"/>
        </w:rPr>
        <w:t>Project Progress Review # 1</w:t>
      </w:r>
    </w:p>
    <w:p/>
    <w:p>
      <w:pPr>
        <w:keepNext/>
        <w:spacing w:after="0"/>
        <w:jc w:val="center"/>
      </w:pPr>
      <w:r>
        <w:rPr>
          <w:rFonts w:ascii="Trebuchet MS" w:hAnsi="Trebuchet MS"/>
          <w:b w:val="0"/>
          <w:i/>
          <w:color w:val="1A1A1A"/>
          <w:sz w:val="30"/>
        </w:rPr>
        <w:t>Cognitive Load Estimation from EEG + fNIRS Signals</w:t>
      </w:r>
    </w:p>
    <w:p>
      <w:pPr>
        <w:keepNext/>
        <w:spacing w:after="80"/>
        <w:jc w:val="center"/>
      </w:pPr>
      <w:r>
        <w:rPr>
          <w:rFonts w:ascii="Trebuchet MS" w:hAnsi="Trebuchet MS"/>
          <w:b w:val="0"/>
          <w:i/>
          <w:color w:val="1A1A1A"/>
          <w:sz w:val="30"/>
        </w:rPr>
        <w:t>using Hybrid Deep Learning</w:t>
      </w:r>
    </w:p>
    <w:p/>
    <w:p/>
    <w:p/>
    <w:p/>
    <w:p>
      <w:pPr>
        <w:spacing w:after="120"/>
        <w:ind w:left="2880"/>
      </w:pPr>
      <w:r>
        <w:rPr>
          <w:rFonts w:ascii="Trebuchet MS" w:hAnsi="Trebuchet MS"/>
          <w:b w:val="0"/>
          <w:i w:val="0"/>
          <w:color w:val="E48312"/>
          <w:sz w:val="30"/>
        </w:rPr>
        <w:t xml:space="preserve">Project Title   :  </w:t>
      </w:r>
      <w:r>
        <w:rPr>
          <w:rFonts w:ascii="Trebuchet MS" w:hAnsi="Trebuchet MS"/>
          <w:b w:val="0"/>
          <w:i w:val="0"/>
          <w:color w:val="1A1A1A"/>
          <w:sz w:val="30"/>
        </w:rPr>
        <w:t>Cognitive Load Estimation from EEG + fNIRS</w:t>
      </w:r>
    </w:p>
    <w:p>
      <w:pPr>
        <w:spacing w:after="120"/>
        <w:ind w:left="2880"/>
      </w:pPr>
      <w:r>
        <w:rPr>
          <w:rFonts w:ascii="Trebuchet MS" w:hAnsi="Trebuchet MS"/>
          <w:b w:val="0"/>
          <w:i w:val="0"/>
          <w:color w:val="E48312"/>
          <w:sz w:val="30"/>
        </w:rPr>
        <w:t xml:space="preserve">Project ID       :  </w:t>
      </w:r>
      <w:r>
        <w:rPr>
          <w:rFonts w:ascii="Trebuchet MS" w:hAnsi="Trebuchet MS"/>
          <w:b w:val="0"/>
          <w:i w:val="0"/>
          <w:color w:val="1A1A1A"/>
          <w:sz w:val="30"/>
        </w:rPr>
        <w:t xml:space="preserve">                    </w:t>
      </w:r>
    </w:p>
    <w:p>
      <w:pPr>
        <w:spacing w:after="120"/>
        <w:ind w:left="2880"/>
      </w:pPr>
      <w:r>
        <w:rPr>
          <w:rFonts w:ascii="Trebuchet MS" w:hAnsi="Trebuchet MS"/>
          <w:b w:val="0"/>
          <w:i w:val="0"/>
          <w:color w:val="E48312"/>
          <w:sz w:val="30"/>
        </w:rPr>
        <w:t xml:space="preserve">Project Guide :  </w:t>
      </w:r>
      <w:r>
        <w:rPr>
          <w:rFonts w:ascii="Trebuchet MS" w:hAnsi="Trebuchet MS"/>
          <w:b w:val="0"/>
          <w:i w:val="0"/>
          <w:color w:val="1A1A1A"/>
          <w:sz w:val="30"/>
        </w:rPr>
        <w:t xml:space="preserve">                    </w:t>
      </w:r>
    </w:p>
    <w:p>
      <w:pPr>
        <w:spacing w:after="120"/>
        <w:ind w:left="2880"/>
      </w:pPr>
      <w:r>
        <w:rPr>
          <w:rFonts w:ascii="Trebuchet MS" w:hAnsi="Trebuchet MS"/>
          <w:b w:val="0"/>
          <w:i w:val="0"/>
          <w:color w:val="E48312"/>
          <w:sz w:val="30"/>
        </w:rPr>
        <w:t xml:space="preserve">Project Team  :  </w:t>
      </w:r>
      <w:r>
        <w:rPr>
          <w:rFonts w:ascii="Trebuchet MS" w:hAnsi="Trebuchet MS"/>
          <w:b w:val="0"/>
          <w:i w:val="0"/>
          <w:color w:val="1A1A1A"/>
          <w:sz w:val="30"/>
        </w:rPr>
        <w:t xml:space="preserve">                    </w:t>
      </w:r>
    </w:p>
    <w:p>
      <w:pPr>
        <w:sectPr>
          <w:headerReference w:type="default" r:id="rId9"/>
          <w:footerReference w:type="default" r:id="rId10"/>
          <w:pgSz w:w="19200" w:h="10800" w:orient="landscape"/>
          <w:pgMar w:top="432" w:right="576" w:bottom="432" w:left="576" w:header="720" w:footer="720" w:gutter="0"/>
          <w:cols w:space="720"/>
          <w:docGrid w:linePitch="360"/>
        </w:sectPr>
      </w:pPr>
    </w:p>
    <w:p>
      <w:pPr>
        <w:keepNext/>
        <w:spacing w:after="280"/>
        <w:jc w:val="right"/>
      </w:pPr>
      <w:r>
        <w:rPr>
          <w:rFonts w:ascii="Trebuchet MS" w:hAnsi="Trebuchet MS"/>
          <w:b w:val="0"/>
          <w:i w:val="0"/>
          <w:color w:val="1A1A1A"/>
          <w:sz w:val="44"/>
        </w:rPr>
        <w:t>Outline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Abstract and Scope of the Project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Summary of Work Done in Capstone Project Phase – 2</w:t>
      </w:r>
    </w:p>
    <w:p>
      <w:pPr>
        <w:pStyle w:val="ListBullet"/>
        <w:spacing w:after="120"/>
        <w:ind w:left="936"/>
      </w:pPr>
      <w:r>
        <w:rPr>
          <w:rFonts w:ascii="Trebuchet MS" w:hAnsi="Trebuchet MS"/>
          <w:b w:val="0"/>
          <w:i w:val="0"/>
          <w:color w:val="BD582C"/>
          <w:sz w:val="25"/>
        </w:rPr>
        <w:t>Preprocessing, hybrid model, and leakage-audited LOSO evaluation</w:t>
      </w:r>
    </w:p>
    <w:p>
      <w:pPr>
        <w:pStyle w:val="ListBullet"/>
        <w:spacing w:after="120"/>
        <w:ind w:left="936"/>
      </w:pPr>
      <w:r>
        <w:rPr>
          <w:rFonts w:ascii="Trebuchet MS" w:hAnsi="Trebuchet MS"/>
          <w:b w:val="0"/>
          <w:i w:val="0"/>
          <w:color w:val="BD582C"/>
          <w:sz w:val="25"/>
        </w:rPr>
        <w:t>Binary reframing and the 42-experiment improvement campaign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Inferences Drawn from Literature Survey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List of Tasks / Modules with Individual Contribution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Design of Overall Architecture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Demonstration and Testing of Completed Modules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Key Results — Confusion Matrix &amp; Per-Subject Performance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Explainability — SHAP &amp; Attention Analysis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Experiment Campaign — Rigor &amp; Negative Results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References</w:t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8"/>
        </w:rPr>
        <w:t>Abstract and Scope</w:t>
      </w:r>
    </w:p>
    <w:p>
      <w:pPr>
        <w:spacing w:after="160"/>
        <w:jc w:val="left"/>
      </w:pPr>
      <w:r>
        <w:rPr>
          <w:rFonts w:ascii="Trebuchet MS" w:hAnsi="Trebuchet MS"/>
          <w:b w:val="0"/>
          <w:i w:val="0"/>
          <w:color w:val="1A1A1A"/>
          <w:sz w:val="28"/>
        </w:rPr>
        <w:t>Mental workload cannot be measured directly — it has to be inferred from physiological signals. This project estimates cognitive load from two complementary brain signals recorded simultaneously: EEG (electrical activity, 200 Hz, fast but noisy) and fNIRS (hemodynamic/blood-oxygenation activity, 10 Hz, slower but stable), using the open TU Berlin n-back dataset (Shin et al., 2018) — 26 subjects performing 0-back / 2-back / 3-back working-memory tasks, an experimentally imposed workload level that gives objective ground truth.</w:t>
      </w:r>
    </w:p>
    <w:p>
      <w:pPr>
        <w:spacing w:after="160"/>
        <w:jc w:val="left"/>
      </w:pPr>
      <w:r>
        <w:rPr>
          <w:rFonts w:ascii="Trebuchet MS" w:hAnsi="Trebuchet MS"/>
          <w:b w:val="0"/>
          <w:i w:val="0"/>
          <w:color w:val="1A1A1A"/>
          <w:sz w:val="28"/>
        </w:rPr>
        <w:t>A hybrid deep-learning network — per-modality residual-MLP encoders fused through a learned attention gate — predicts Low / Medium / High load (original protocol) or Low / High (binary reframing).</w:t>
      </w:r>
    </w:p>
    <w:p>
      <w:pPr>
        <w:spacing w:after="160"/>
        <w:jc w:val="left"/>
      </w:pPr>
      <w:r>
        <w:rPr>
          <w:rFonts w:ascii="Trebuchet MS" w:hAnsi="Trebuchet MS"/>
          <w:b w:val="0"/>
          <w:i w:val="0"/>
          <w:color w:val="1A1A1A"/>
          <w:sz w:val="28"/>
        </w:rPr>
        <w:t>Scope: (1) an end-to-end, leakage-audited pipeline; (2) an honest headline metric — leave-one-subject-out (LOSO) accuracy, not an inflated fixed-split number (see chart below); (3) a full-stack demo where every UI number traces to a committed artifact; (4) SHAP + attention-gate explainability; (5) a documented negative result (DANN) as evidence of rigor, not hidden.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727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hart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2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2"/>
        </w:rPr>
        <w:t>Summary of Work Done in Capstone Project Phase – 2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Built the full preprocessing pipeline: raw .mat recordings → band-power / hemodynamic features → sliding-window extraction, with EEG epoched on NIRS markers to keep both modalities aligned.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Trained and evaluated the 3-class Hybrid network; identified the fixed-split-vs-LOSO gap as the project's central methodological finding.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Adopted per-subject z-score + log-compression preprocessing; ran a 26-fold LOSO rigor pass with paired significance tests and Random-Forest ensembling.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Explored a Domain-Adversarial Neural Network (DANN) for subject-invariant features — documented as a rigorous, honest negative result.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Reframed the task as Binary (Low vs High) with sliding-window augmentation, lifting LOSO accuracy from ~40% to 63.09%.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Built a leakage-audited experiment framework (research/) and ran 42 controlled experiments on the binary model against a development/lockbox split — none beat the baseline within one standard error.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Exported the frozen model to a portable serving/ bundle and built the FastAPI backend + React frontend demo, including a CSV-upload endpoint verified byte-exact against the training pipeline.</w:t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8"/>
        </w:rPr>
        <w:t>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862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86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8"/>
        </w:rPr>
        <w:t>List of Tasks / Modules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Data Preparation — preprocess_tuberlin.py, sliding_window_extractor.py, data_loader.py: raw .mat → filtered, epoch-aligned, per-subject-normalized feature tensors (1476 features/window).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Model Architecture &amp; Training — models/architectures.py, trainer.py: attention-fusion Hybrid network; validation-macro-F1 checkpoint selection, class weighting, early stopping.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Rigor / Research Framework — research/ (leakage.py, datamod.py, train.py, campaign.py): leakage-audited LOSO folds, the 42-experiment binary-model campaign, development/lockbox protocol.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Explainability — explain_model.py, visualize_attention.py: SHAP (GradientExplainer) + attention-gate analysis.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Export &amp; Packaging — export_for_serving.py, export_research_data.py: freeze model + artifacts into portable, versioned bundles.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Backend API — FastAPI (main.py, model_service.py, data_service.py, upload_service.py): inference, CSV-upload validation, run-archive access.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7"/>
        </w:rPr>
        <w:t>Frontend UI — React + Vite, 7 pages: Overview, Research, Live Prediction, Session Trend, Upload Data, Model Insights, Methodology.</w:t>
      </w:r>
    </w:p>
    <w:p>
      <w:pPr>
        <w:spacing w:after="0"/>
        <w:jc w:val="left"/>
      </w:pPr>
      <w:r>
        <w:rPr>
          <w:rFonts w:ascii="Trebuchet MS" w:hAnsi="Trebuchet MS"/>
          <w:b w:val="0"/>
          <w:i w:val="0"/>
          <w:color w:val="888888"/>
          <w:sz w:val="22"/>
        </w:rPr>
        <w:t>Tools / technologies (all open-source): Python 3.14, PyTorch, scikit-learn, SHAP, pandas / NumPy, FastAPI, Pydantic, React 18, Vite, Recharts.</w:t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8"/>
        </w:rPr>
        <w:t>Individual Contribution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  <w:gridCol w:w="4512"/>
      </w:tblGrid>
      <w:tr>
        <w:tc>
          <w:tcPr>
            <w:tcW w:type="dxa" w:w="4512"/>
          </w:tcPr>
          <w:p>
            <w:r/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Module</w:t>
            </w:r>
          </w:p>
        </w:tc>
        <w:tc>
          <w:tcPr>
            <w:tcW w:type="dxa" w:w="4512"/>
          </w:tcPr>
          <w:p>
            <w:r/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Approx. Lines of Code</w:t>
            </w:r>
          </w:p>
        </w:tc>
        <w:tc>
          <w:tcPr>
            <w:tcW w:type="dxa" w:w="4512"/>
          </w:tcPr>
          <w:p>
            <w:r/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Description</w:t>
            </w:r>
          </w:p>
        </w:tc>
        <w:tc>
          <w:tcPr>
            <w:tcW w:type="dxa" w:w="4512"/>
          </w:tcPr>
          <w:p>
            <w:r/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Owner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E48312"/>
                <w:sz w:val="23"/>
              </w:rPr>
              <w:t>Data &amp; Training Pipeline</w:t>
            </w:r>
          </w:p>
        </w:tc>
        <w:tc>
          <w:tcPr>
            <w:tcW w:type="dxa" w:w="4512"/>
          </w:tcPr>
          <w:p>
            <w:pPr>
              <w:jc w:val="right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~10,600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Preprocessing, model training, evaluation, ablation scripts (top-level *.py)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 xml:space="preserve"> 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E48312"/>
                <w:sz w:val="23"/>
              </w:rPr>
              <w:t>Research / Leakage-Audit Framework</w:t>
            </w:r>
          </w:p>
        </w:tc>
        <w:tc>
          <w:tcPr>
            <w:tcW w:type="dxa" w:w="4512"/>
          </w:tcPr>
          <w:p>
            <w:pPr>
              <w:jc w:val="right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~5,070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Binary-model campaign, leakage assertions, run archive (research/)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 xml:space="preserve"> 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E48312"/>
                <w:sz w:val="23"/>
              </w:rPr>
              <w:t>Backend (FastAPI)</w:t>
            </w:r>
          </w:p>
        </w:tc>
        <w:tc>
          <w:tcPr>
            <w:tcW w:type="dxa" w:w="4512"/>
          </w:tcPr>
          <w:p>
            <w:pPr>
              <w:jc w:val="right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~1,630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Serving API, model inference, CSV upload (backend/)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 xml:space="preserve"> 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E48312"/>
                <w:sz w:val="23"/>
              </w:rPr>
              <w:t>Frontend (React / Vite)</w:t>
            </w:r>
          </w:p>
        </w:tc>
        <w:tc>
          <w:tcPr>
            <w:tcW w:type="dxa" w:w="4512"/>
          </w:tcPr>
          <w:p>
            <w:pPr>
              <w:jc w:val="right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~9,330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7-page demo UI, charts, explainability views (frontend/src)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 xml:space="preserve"> 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/>
                <w:i w:val="0"/>
                <w:color w:val="E48312"/>
                <w:sz w:val="23"/>
              </w:rPr>
              <w:t>Total</w:t>
            </w:r>
          </w:p>
        </w:tc>
        <w:tc>
          <w:tcPr>
            <w:tcW w:type="dxa" w:w="4512"/>
          </w:tcPr>
          <w:p>
            <w:pPr>
              <w:jc w:val="right"/>
            </w:pPr>
            <w:r>
              <w:rPr>
                <w:rFonts w:ascii="Trebuchet MS" w:hAnsi="Trebuchet MS"/>
                <w:b/>
                <w:i w:val="0"/>
                <w:color w:val="1A1A1A"/>
                <w:sz w:val="23"/>
              </w:rPr>
              <w:t>~26,600 lines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Across 202 tracked files, Python + JS/JSX</w:t>
            </w:r>
          </w:p>
        </w:tc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 xml:space="preserve"> </w:t>
            </w:r>
          </w:p>
        </w:tc>
      </w:tr>
    </w:tbl>
    <w:p>
      <w:pPr>
        <w:spacing w:after="40"/>
      </w:pPr>
    </w:p>
    <w:p>
      <w:pPr>
        <w:spacing w:after="0"/>
        <w:jc w:val="left"/>
      </w:pPr>
      <w:r>
        <w:rPr>
          <w:rFonts w:ascii="Trebuchet MS" w:hAnsi="Trebuchet MS"/>
          <w:b w:val="0"/>
          <w:i w:val="0"/>
          <w:color w:val="888888"/>
          <w:sz w:val="21"/>
        </w:rPr>
        <w:t>Single-member team — all modules designed, implemented, evaluated and documented by the contributor named above. Timeline: Phase 1 – dataset, preprocessing, 3-class model; Phase 2 – leakage-audited framework, binary reframing, backend/frontend demo; Phase 3 (current) – frontend redesign, reporting.</w:t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2"/>
        </w:rPr>
        <w:t>Demonstration and Testing of Completed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2"/>
        <w:gridCol w:w="4512"/>
        <w:gridCol w:w="4512"/>
        <w:gridCol w:w="4512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Protocol (Binary model)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Accuracy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Macro F1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BD582C"/>
                <w:sz w:val="24"/>
              </w:rPr>
              <w:t>ROC-AUC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LOSO, 26 subjects (4,576 pooled windows)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E48312"/>
                <w:sz w:val="23"/>
              </w:rPr>
              <w:t>63.09% ± 10.1%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0.6255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0.6775</w:t>
            </w:r>
          </w:p>
        </w:tc>
      </w:tr>
      <w:tr>
        <w:tc>
          <w:tcPr>
            <w:tcW w:type="dxa" w:w="4512"/>
          </w:tcPr>
          <w:p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Lockbox, 8 unseen subjects (evaluated once)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E48312"/>
                <w:sz w:val="23"/>
              </w:rPr>
              <w:t>63.71% ± 8.5%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0.6275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Trebuchet MS" w:hAnsi="Trebuchet MS"/>
                <w:b w:val="0"/>
                <w:i w:val="0"/>
                <w:color w:val="1A1A1A"/>
                <w:sz w:val="23"/>
              </w:rPr>
              <w:t>0.6888</w:t>
            </w:r>
          </w:p>
        </w:tc>
      </w:tr>
    </w:tbl>
    <w:p>
      <w:pPr>
        <w:spacing w:after="80"/>
      </w:pP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6"/>
        </w:rPr>
        <w:t>Live Prediction demo — pick a subject + window, run a real forward pass; the app shows predicted class, probability bars, confidence / margin / entropy, and the attention-gate bar (how much the model trusts EEG vs. fNIRS).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6"/>
        </w:rPr>
        <w:t>Automated correctness check — research.verify_run recomputes every metric from each run's saved predictions.csv and reports zero mismatches.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6"/>
        </w:rPr>
        <w:t>Leakage testing — subject / trial / window / duplicate-row / scaler-fit / held-out-subject assertions run before every fold trains; a failure raises LeakageError and aborts the run.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6"/>
        </w:rPr>
        <w:t>Upload-path testing — the CSV-upload preprocessing is a self-contained reimplementation of the training pipeline, verified byte-exact (max abs diff 0.0) against data_loader.py.</w:t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2"/>
        </w:rPr>
        <w:t>Key Results — Confusion Matrix &amp; Per-Subject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16"/>
        <w:gridCol w:w="6016"/>
        <w:gridCol w:w="6016"/>
      </w:tblGrid>
      <w:tr>
        <w:tc>
          <w:tcPr>
            <w:tcW w:type="dxa" w:w="6016"/>
          </w:tcPr>
          <w:p>
            <w:r/>
          </w:p>
        </w:tc>
        <w:tc>
          <w:tcPr>
            <w:tcW w:type="dxa" w:w="6016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1A1A1A"/>
                <w:sz w:val="24"/>
              </w:rPr>
              <w:t>Pred. Low</w:t>
            </w:r>
          </w:p>
        </w:tc>
        <w:tc>
          <w:tcPr>
            <w:tcW w:type="dxa" w:w="6016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1A1A1A"/>
                <w:sz w:val="24"/>
              </w:rPr>
              <w:t>Pred. High</w:t>
            </w:r>
          </w:p>
        </w:tc>
      </w:tr>
      <w:tr>
        <w:tc>
          <w:tcPr>
            <w:tcW w:type="dxa" w:w="6016"/>
          </w:tcPr>
          <w:p>
            <w:r>
              <w:rPr>
                <w:rFonts w:ascii="Trebuchet MS" w:hAnsi="Trebuchet MS"/>
                <w:b/>
                <w:i w:val="0"/>
                <w:color w:val="1A1A1A"/>
                <w:sz w:val="24"/>
              </w:rPr>
              <w:t>True Low</w:t>
            </w:r>
          </w:p>
        </w:tc>
        <w:tc>
          <w:tcPr>
            <w:tcW w:type="dxa" w:w="6016"/>
            <w:shd w:val="clear" w:fill="E483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FFFFFF"/>
                <w:sz w:val="32"/>
              </w:rPr>
              <w:t>1561</w:t>
            </w:r>
          </w:p>
        </w:tc>
        <w:tc>
          <w:tcPr>
            <w:tcW w:type="dxa" w:w="6016"/>
            <w:shd w:val="clear" w:fill="FBEFDD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BD582C"/>
                <w:sz w:val="32"/>
              </w:rPr>
              <w:t>727</w:t>
            </w:r>
          </w:p>
        </w:tc>
      </w:tr>
      <w:tr>
        <w:tc>
          <w:tcPr>
            <w:tcW w:type="dxa" w:w="6016"/>
          </w:tcPr>
          <w:p>
            <w:r>
              <w:rPr>
                <w:rFonts w:ascii="Trebuchet MS" w:hAnsi="Trebuchet MS"/>
                <w:b/>
                <w:i w:val="0"/>
                <w:color w:val="1A1A1A"/>
                <w:sz w:val="24"/>
              </w:rPr>
              <w:t>True High</w:t>
            </w:r>
          </w:p>
        </w:tc>
        <w:tc>
          <w:tcPr>
            <w:tcW w:type="dxa" w:w="6016"/>
            <w:shd w:val="clear" w:fill="FBEFDD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BD582C"/>
                <w:sz w:val="32"/>
              </w:rPr>
              <w:t>962</w:t>
            </w:r>
          </w:p>
        </w:tc>
        <w:tc>
          <w:tcPr>
            <w:tcW w:type="dxa" w:w="6016"/>
            <w:shd w:val="clear" w:fill="E48312"/>
          </w:tcPr>
          <w:p>
            <w:pPr>
              <w:jc w:val="center"/>
            </w:pPr>
            <w:r>
              <w:rPr>
                <w:rFonts w:ascii="Trebuchet MS" w:hAnsi="Trebuchet MS"/>
                <w:b/>
                <w:i w:val="0"/>
                <w:color w:val="FFFFFF"/>
                <w:sz w:val="32"/>
              </w:rPr>
              <w:t>1326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Trebuchet MS" w:hAnsi="Trebuchet MS"/>
          <w:b w:val="0"/>
          <w:i w:val="0"/>
          <w:color w:val="888888"/>
          <w:sz w:val="21"/>
        </w:rPr>
        <w:t>4,576 pooled held-out windows, 26-fold LOSO · overall accuracy 63.09%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348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hart_b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48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2"/>
        </w:rPr>
        <w:t>Explainability — What Drives the Prediction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24"/>
        <w:gridCol w:w="9024"/>
      </w:tblGrid>
      <w:tr>
        <w:tc>
          <w:tcPr>
            <w:tcW w:type="dxa" w:w="90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5120640" cy="31894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chart_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89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617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chart_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17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6"/>
        </w:rPr>
        <w:t>SHAP (GradientExplainer) and the network's own learned attention gate were computed independently — both point the same way, which is the reassuring part.</w:t>
      </w:r>
    </w:p>
    <w:p>
      <w:pPr>
        <w:pStyle w:val="ListBullet"/>
        <w:spacing w:after="120"/>
        <w:ind w:left="432"/>
      </w:pPr>
      <w:r>
        <w:rPr>
          <w:rFonts w:ascii="Trebuchet MS" w:hAnsi="Trebuchet MS"/>
          <w:b w:val="0"/>
          <w:i w:val="0"/>
          <w:color w:val="E48312"/>
          <w:sz w:val="26"/>
        </w:rPr>
        <w:t>The attention gate is exposed in every live API response; it is what the app's modality-contribution bar shows for each individual prediction.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rebuchet MS" w:hAnsi="Trebuchet MS"/>
          <w:b w:val="0"/>
          <w:i w:val="0"/>
          <w:color w:val="1A1A1A"/>
          <w:sz w:val="36"/>
        </w:rPr>
        <w:t>Experiment Campaign — Rigor &amp; Negative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71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hart_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7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Trebuchet MS" w:hAnsi="Trebuchet MS"/>
          <w:b w:val="0"/>
          <w:i w:val="0"/>
          <w:color w:val="1A1A1A"/>
          <w:sz w:val="48"/>
        </w:rPr>
        <w:t>References</w:t>
      </w:r>
    </w:p>
    <w:p/>
    <w:p>
      <w:pPr>
        <w:spacing w:after="240"/>
        <w:ind w:left="432"/>
      </w:pPr>
      <w:r>
        <w:rPr>
          <w:rFonts w:ascii="Trebuchet MS" w:hAnsi="Trebuchet MS"/>
          <w:b w:val="0"/>
          <w:i w:val="0"/>
          <w:color w:val="1A1A1A"/>
          <w:sz w:val="26"/>
        </w:rPr>
        <w:t>1. J. Shin, A. von Lühmann, B. Blankertz, D.-W. Kim, J. Jang, H.-J. Hwang, and K.-R. Müller, “Simultaneous acquisition of EEG and NIRS during cognitive tasks for an open access dataset,” Scientific Data, vol. 5, no. 180003, 2018.</w:t>
      </w:r>
    </w:p>
    <w:p>
      <w:pPr>
        <w:spacing w:after="240"/>
        <w:ind w:left="432"/>
      </w:pPr>
      <w:r>
        <w:rPr>
          <w:rFonts w:ascii="Trebuchet MS" w:hAnsi="Trebuchet MS"/>
          <w:b w:val="0"/>
          <w:i w:val="0"/>
          <w:color w:val="1A1A1A"/>
          <w:sz w:val="26"/>
        </w:rPr>
        <w:t>2. Y. Ganin and V. Lempitsky, “Unsupervised Domain Adaptation by Backpropagation,” in Proc. 32nd Int. Conf. on Machine Learning (ICML), 2015, pp. 1180–1189.</w:t>
      </w:r>
    </w:p>
    <w:p>
      <w:pPr>
        <w:spacing w:after="240"/>
        <w:ind w:left="432"/>
      </w:pPr>
      <w:r>
        <w:rPr>
          <w:rFonts w:ascii="Trebuchet MS" w:hAnsi="Trebuchet MS"/>
          <w:b w:val="0"/>
          <w:i w:val="0"/>
          <w:color w:val="1A1A1A"/>
          <w:sz w:val="26"/>
        </w:rPr>
        <w:t>3. S. M. Lundberg and S.-I. Lee, “A Unified Approach to Interpreting Model Predictions,” in Advances in Neural Information Processing Systems (NeurIPS), 2017, pp. 4765–4774.</w:t>
      </w:r>
    </w:p>
    <w:p>
      <w:pPr>
        <w:spacing w:after="240"/>
        <w:ind w:left="432"/>
      </w:pPr>
      <w:r>
        <w:rPr>
          <w:rFonts w:ascii="Trebuchet MS" w:hAnsi="Trebuchet MS"/>
          <w:b w:val="0"/>
          <w:i w:val="0"/>
          <w:color w:val="1A1A1A"/>
          <w:sz w:val="26"/>
        </w:rPr>
        <w:t>4. L. Breiman, “Random Forests,” Machine Learning, vol. 45, no. 1, pp. 5–32, 2001.</w:t>
      </w:r>
    </w:p>
    <w:p>
      <w:pPr>
        <w:spacing w:after="240"/>
        <w:ind w:left="432"/>
      </w:pPr>
      <w:r>
        <w:rPr>
          <w:rFonts w:ascii="Trebuchet MS" w:hAnsi="Trebuchet MS"/>
          <w:b w:val="0"/>
          <w:i w:val="0"/>
          <w:color w:val="1A1A1A"/>
          <w:sz w:val="26"/>
        </w:rPr>
        <w:t>5. R. M. Yerkes and J. D. Dodson, “The relation of strength of stimulus to rapidity of habit-formation,” J. Comparative Neurology and Psychology, vol. 18, no. 5, pp. 459–482, 1908.</w:t>
      </w:r>
    </w:p>
    <w:p>
      <w:pPr>
        <w:sectPr>
          <w:headerReference w:type="default" r:id="rId12"/>
          <w:footerReference w:type="default" r:id="rId13"/>
          <w:pgSz w:w="19200" w:h="10800" w:orient="landscape"/>
          <w:pgMar w:top="432" w:right="576" w:bottom="432" w:left="576" w:header="720" w:footer="720" w:gutter="0"/>
          <w:cols w:space="720"/>
          <w:docGrid w:linePitch="360"/>
        </w:sectPr>
      </w:pPr>
    </w:p>
    <w:p/>
    <w:p/>
    <w:p/>
    <w:p/>
    <w:p/>
    <w:p/>
    <w:p/>
    <w:p/>
    <w:p/>
    <w:p/>
    <w:p>
      <w:pPr>
        <w:jc w:val="center"/>
      </w:pPr>
      <w:r>
        <w:rPr>
          <w:rFonts w:ascii="Trebuchet MS" w:hAnsi="Trebuchet MS"/>
          <w:b/>
          <w:i w:val="0"/>
          <w:color w:val="BD582C"/>
          <w:sz w:val="68"/>
        </w:rPr>
        <w:t>Thank You</w:t>
      </w:r>
    </w:p>
    <w:sectPr w:rsidR="00FC693F" w:rsidRPr="0006063C" w:rsidSect="00034616">
      <w:headerReference w:type="default" r:id="rId20"/>
      <w:footerReference w:type="default" r:id="rId21"/>
      <w:pgSz w:w="19200" w:h="1080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rebuchet MS" w:hAnsi="Trebuchet MS"/>
        <w:b w:val="0"/>
        <w:i w:val="0"/>
        <w:color w:val="888888"/>
        <w:sz w:val="20"/>
      </w:rPr>
      <w:t xml:space="preserve">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9024"/>
      <w:gridCol w:w="9024"/>
    </w:tblGrid>
    <w:tr>
      <w:tc>
        <w:tcPr>
          <w:tcW w:type="dxa" w:w="9024"/>
        </w:tcPr>
        <w:p>
          <w:r>
            <w:rPr>
              <w:rFonts w:ascii="Trebuchet MS" w:hAnsi="Trebuchet MS"/>
              <w:b w:val="0"/>
              <w:i w:val="0"/>
              <w:color w:val="888888"/>
              <w:sz w:val="20"/>
            </w:rPr>
            <w:t>Cognitive Load Estimation from EEG + fNIRS</w:t>
          </w:r>
        </w:p>
      </w:tc>
      <w:tc>
        <w:tcPr>
          <w:tcW w:type="dxa" w:w="90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22960" cy="8229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8229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