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A1" w:rsidRDefault="001253A1">
      <w:r>
        <w:rPr>
          <w:noProof/>
        </w:rPr>
        <w:drawing>
          <wp:inline distT="0" distB="0" distL="0" distR="0">
            <wp:extent cx="5943600" cy="4202974"/>
            <wp:effectExtent l="0" t="0" r="0" b="0"/>
            <wp:docPr id="1" name="Picture 1" descr="International Airfreight Export Import Flow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Airfreight Export Import Flowchar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A1" w:rsidRDefault="001253A1">
      <w:r>
        <w:tab/>
      </w:r>
      <w:r>
        <w:tab/>
      </w:r>
      <w:r>
        <w:tab/>
        <w:t>FIGURE : - IMPORT / EXPORT PROCESS FLOW CHART</w:t>
      </w:r>
      <w:bookmarkStart w:id="0" w:name="_GoBack"/>
      <w:bookmarkEnd w:id="0"/>
    </w:p>
    <w:sectPr w:rsidR="0012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03"/>
    <w:rsid w:val="001253A1"/>
    <w:rsid w:val="002D7AA1"/>
    <w:rsid w:val="006404F4"/>
    <w:rsid w:val="00E9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5B50-BE12-423E-BFC6-BEDA98ED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2025-08-26T05:48:00Z</dcterms:created>
  <dcterms:modified xsi:type="dcterms:W3CDTF">2025-08-26T05:49:00Z</dcterms:modified>
</cp:coreProperties>
</file>