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03" w:rsidRPr="004B4252" w:rsidRDefault="00676D03" w:rsidP="00676D03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4B4252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4B4252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4B4252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B425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1. Representation &amp; Regulatory Disputes</w:t>
      </w:r>
    </w:p>
    <w:p w:rsidR="00676D03" w:rsidRPr="004B4252" w:rsidRDefault="00676D03" w:rsidP="00676D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Exporters, importers, and logistics operators often face disputes with </w:t>
      </w:r>
      <w:r w:rsidRPr="004B4252">
        <w:rPr>
          <w:rFonts w:eastAsia="Times New Roman" w:cstheme="minorHAnsi"/>
          <w:b/>
          <w:bCs/>
          <w:kern w:val="0"/>
          <w:lang w:eastAsia="en-GB"/>
          <w14:ligatures w14:val="none"/>
        </w:rPr>
        <w:t>Customs, DGFT, RBI, ED, GST, and other regulators</w:t>
      </w:r>
      <w:r w:rsidRPr="004B4252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4B4252" w:rsidRDefault="00676D03" w:rsidP="00676D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>These disputes may relate to classification, valuation, eligibility of incentives, or procedural lapses.</w:t>
      </w:r>
    </w:p>
    <w:p w:rsidR="00676D03" w:rsidRPr="004B4252" w:rsidRDefault="00676D03" w:rsidP="00676D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Representation involves </w:t>
      </w:r>
      <w:r w:rsidRPr="004B4252">
        <w:rPr>
          <w:rFonts w:eastAsia="Times New Roman" w:cstheme="minorHAnsi"/>
          <w:b/>
          <w:bCs/>
          <w:kern w:val="0"/>
          <w:lang w:eastAsia="en-GB"/>
          <w14:ligatures w14:val="none"/>
        </w:rPr>
        <w:t>replying, contesting, or appealing</w:t>
      </w: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 before authorities with legal and factual grounds.</w:t>
      </w:r>
    </w:p>
    <w:p w:rsidR="00676D03" w:rsidRPr="004B4252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4B4252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B425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4B4252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4B4252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4B4252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4B4252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4B4252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4B4252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4B4252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4B4252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4B4252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:rsidR="00D579ED" w:rsidRPr="004B4252" w:rsidRDefault="00D579ED" w:rsidP="00D579ED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r w:rsidRPr="00D579ED">
        <w:rPr>
          <w:rFonts w:eastAsia="Times New Roman" w:cstheme="minorHAnsi"/>
          <w:noProof/>
          <w:kern w:val="0"/>
          <w:lang w:val="en-US" w:bidi="mr-IN"/>
          <w14:ligatures w14:val="none"/>
        </w:rPr>
        <w:lastRenderedPageBreak/>
        <w:drawing>
          <wp:inline distT="0" distB="0" distL="0" distR="0">
            <wp:extent cx="5731510" cy="3791950"/>
            <wp:effectExtent l="0" t="0" r="0" b="0"/>
            <wp:docPr id="1" name="Picture 1" descr="D:\2. Projects\2. Inspiration Global Technologies Pvt. Ltd\Data of Inspiration Digitization\1. Trade Topics\7. Dispute Resolutions &amp; Legal\Customs and Regulatory Disputes Flowcharts (Main Adjudication + Parallel Regulatory Actions) - visual 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. Projects\2. Inspiration Global Technologies Pvt. Ltd\Data of Inspiration Digitization\1. Trade Topics\7. Dispute Resolutions &amp; Legal\Customs and Regulatory Disputes Flowcharts (Main Adjudication + Parallel Regulatory Actions) - visual select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579ED" w:rsidRPr="004B4252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D75" w:rsidRDefault="00357D75" w:rsidP="00F90A5E">
      <w:r>
        <w:separator/>
      </w:r>
    </w:p>
  </w:endnote>
  <w:endnote w:type="continuationSeparator" w:id="0">
    <w:p w:rsidR="00357D75" w:rsidRDefault="00357D75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579ED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D75" w:rsidRDefault="00357D75" w:rsidP="00F90A5E">
      <w:r>
        <w:separator/>
      </w:r>
    </w:p>
  </w:footnote>
  <w:footnote w:type="continuationSeparator" w:id="0">
    <w:p w:rsidR="00357D75" w:rsidRDefault="00357D75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357D75"/>
    <w:rsid w:val="004B4252"/>
    <w:rsid w:val="004D5FDE"/>
    <w:rsid w:val="00676D03"/>
    <w:rsid w:val="006D1AA8"/>
    <w:rsid w:val="008271B8"/>
    <w:rsid w:val="008E2C18"/>
    <w:rsid w:val="008E6BAC"/>
    <w:rsid w:val="009F29CD"/>
    <w:rsid w:val="00BD7CC0"/>
    <w:rsid w:val="00C435BF"/>
    <w:rsid w:val="00D579ED"/>
    <w:rsid w:val="00D60CF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7</cp:revision>
  <dcterms:created xsi:type="dcterms:W3CDTF">2025-08-31T15:13:00Z</dcterms:created>
  <dcterms:modified xsi:type="dcterms:W3CDTF">2025-11-17T06:56:00Z</dcterms:modified>
</cp:coreProperties>
</file>