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76D03" w:rsidRPr="0092737F" w:rsidRDefault="00676D03" w:rsidP="0092737F">
      <w:pPr>
        <w:spacing w:before="100" w:beforeAutospacing="1" w:after="100" w:afterAutospacing="1"/>
        <w:outlineLvl w:val="0"/>
        <w:rPr>
          <w:rFonts w:eastAsia="Times New Roman" w:cstheme="minorHAnsi"/>
          <w:kern w:val="0"/>
          <w:lang w:eastAsia="en-GB"/>
          <w14:ligatures w14:val="none"/>
        </w:rPr>
      </w:pPr>
      <w:r w:rsidRPr="0092737F">
        <w:rPr>
          <w:rFonts w:eastAsia="Times New Roman" w:cstheme="minorHAnsi"/>
          <w:b/>
          <w:bCs/>
          <w:kern w:val="36"/>
          <w:sz w:val="48"/>
          <w:szCs w:val="48"/>
          <w:lang w:eastAsia="en-GB"/>
          <w14:ligatures w14:val="none"/>
        </w:rPr>
        <w:t>Detailed Note on Representation &amp; Regulatory Disputes in Trade Compliance</w:t>
      </w:r>
    </w:p>
    <w:p w:rsidR="00676D03" w:rsidRPr="0092737F" w:rsidRDefault="00676D03" w:rsidP="00676D03">
      <w:pPr>
        <w:rPr>
          <w:rFonts w:eastAsia="Times New Roman" w:cstheme="minorHAnsi"/>
          <w:kern w:val="0"/>
          <w:lang w:eastAsia="en-GB"/>
          <w14:ligatures w14:val="none"/>
        </w:rPr>
      </w:pPr>
    </w:p>
    <w:p w:rsidR="00676D03" w:rsidRPr="0092737F" w:rsidRDefault="00676D03" w:rsidP="00676D03">
      <w:pPr>
        <w:spacing w:before="100" w:beforeAutospacing="1" w:after="100" w:afterAutospacing="1"/>
        <w:outlineLvl w:val="1"/>
        <w:rPr>
          <w:rFonts w:eastAsia="Times New Roman" w:cstheme="minorHAnsi"/>
          <w:b/>
          <w:bCs/>
          <w:kern w:val="0"/>
          <w:sz w:val="36"/>
          <w:szCs w:val="36"/>
          <w:lang w:eastAsia="en-GB"/>
          <w14:ligatures w14:val="none"/>
        </w:rPr>
      </w:pPr>
      <w:r w:rsidRPr="0092737F">
        <w:rPr>
          <w:rFonts w:eastAsia="Times New Roman" w:cstheme="minorHAnsi"/>
          <w:b/>
          <w:bCs/>
          <w:kern w:val="0"/>
          <w:sz w:val="36"/>
          <w:szCs w:val="36"/>
          <w:lang w:eastAsia="en-GB"/>
          <w14:ligatures w14:val="none"/>
        </w:rPr>
        <w:t>5. Order-in-Original (OIO)</w:t>
      </w:r>
    </w:p>
    <w:p w:rsidR="00676D03" w:rsidRPr="0092737F" w:rsidRDefault="00676D03" w:rsidP="00676D03">
      <w:pPr>
        <w:numPr>
          <w:ilvl w:val="0"/>
          <w:numId w:val="5"/>
        </w:numPr>
        <w:spacing w:before="100" w:beforeAutospacing="1" w:after="100" w:afterAutospacing="1"/>
        <w:rPr>
          <w:rFonts w:eastAsia="Times New Roman" w:cstheme="minorHAnsi"/>
          <w:kern w:val="0"/>
          <w:lang w:eastAsia="en-GB"/>
          <w14:ligatures w14:val="none"/>
        </w:rPr>
      </w:pPr>
      <w:r w:rsidRPr="0092737F">
        <w:rPr>
          <w:rFonts w:eastAsia="Times New Roman" w:cstheme="minorHAnsi"/>
          <w:kern w:val="0"/>
          <w:lang w:eastAsia="en-GB"/>
          <w14:ligatures w14:val="none"/>
        </w:rPr>
        <w:t>Final adjudication order by Customs officer.</w:t>
      </w:r>
    </w:p>
    <w:p w:rsidR="00676D03" w:rsidRPr="0092737F" w:rsidRDefault="00676D03" w:rsidP="00676D03">
      <w:pPr>
        <w:numPr>
          <w:ilvl w:val="0"/>
          <w:numId w:val="5"/>
        </w:numPr>
        <w:spacing w:before="100" w:beforeAutospacing="1" w:after="100" w:afterAutospacing="1"/>
        <w:rPr>
          <w:rFonts w:eastAsia="Times New Roman" w:cstheme="minorHAnsi"/>
          <w:kern w:val="0"/>
          <w:lang w:eastAsia="en-GB"/>
          <w14:ligatures w14:val="none"/>
        </w:rPr>
      </w:pPr>
      <w:r w:rsidRPr="0092737F">
        <w:rPr>
          <w:rFonts w:eastAsia="Times New Roman" w:cstheme="minorHAnsi"/>
          <w:kern w:val="0"/>
          <w:lang w:eastAsia="en-GB"/>
          <w14:ligatures w14:val="none"/>
        </w:rPr>
        <w:t>Decides liability of duty, penalty, confiscation, and compliance.</w:t>
      </w:r>
    </w:p>
    <w:p w:rsidR="00676D03" w:rsidRPr="0092737F" w:rsidRDefault="00676D03" w:rsidP="00676D03">
      <w:pPr>
        <w:numPr>
          <w:ilvl w:val="0"/>
          <w:numId w:val="5"/>
        </w:numPr>
        <w:spacing w:before="100" w:beforeAutospacing="1" w:after="100" w:afterAutospacing="1"/>
        <w:rPr>
          <w:rFonts w:eastAsia="Times New Roman" w:cstheme="minorHAnsi"/>
          <w:kern w:val="0"/>
          <w:lang w:eastAsia="en-GB"/>
          <w14:ligatures w14:val="none"/>
        </w:rPr>
      </w:pPr>
      <w:r w:rsidRPr="0092737F">
        <w:rPr>
          <w:rFonts w:eastAsia="Times New Roman" w:cstheme="minorHAnsi"/>
          <w:kern w:val="0"/>
          <w:lang w:eastAsia="en-GB"/>
          <w14:ligatures w14:val="none"/>
        </w:rPr>
        <w:t>Binding unless appealed.</w:t>
      </w:r>
    </w:p>
    <w:p w:rsidR="00676D03" w:rsidRPr="0092737F" w:rsidRDefault="00676D03" w:rsidP="00676D03">
      <w:pPr>
        <w:numPr>
          <w:ilvl w:val="0"/>
          <w:numId w:val="5"/>
        </w:numPr>
        <w:spacing w:before="100" w:beforeAutospacing="1" w:after="100" w:afterAutospacing="1"/>
        <w:rPr>
          <w:rFonts w:eastAsia="Times New Roman" w:cstheme="minorHAnsi"/>
          <w:kern w:val="0"/>
          <w:lang w:eastAsia="en-GB"/>
          <w14:ligatures w14:val="none"/>
        </w:rPr>
      </w:pPr>
      <w:r w:rsidRPr="0092737F">
        <w:rPr>
          <w:rFonts w:eastAsia="Times New Roman" w:cstheme="minorHAnsi"/>
          <w:kern w:val="0"/>
          <w:lang w:eastAsia="en-GB"/>
          <w14:ligatures w14:val="none"/>
        </w:rPr>
        <w:t>May direct release of seized goods, redemption fine, or confirm demand.</w:t>
      </w:r>
    </w:p>
    <w:p w:rsidR="0092737F" w:rsidRPr="0092737F" w:rsidRDefault="00676D03" w:rsidP="0092737F">
      <w:pPr>
        <w:numPr>
          <w:ilvl w:val="0"/>
          <w:numId w:val="5"/>
        </w:numPr>
        <w:spacing w:before="100" w:beforeAutospacing="1" w:after="100" w:afterAutospacing="1"/>
        <w:rPr>
          <w:rFonts w:eastAsia="Times New Roman" w:cstheme="minorHAnsi"/>
          <w:kern w:val="0"/>
          <w:lang w:eastAsia="en-GB"/>
          <w14:ligatures w14:val="none"/>
        </w:rPr>
      </w:pPr>
      <w:r w:rsidRPr="0092737F">
        <w:rPr>
          <w:rFonts w:eastAsia="Times New Roman" w:cstheme="minorHAnsi"/>
          <w:kern w:val="0"/>
          <w:lang w:eastAsia="en-GB"/>
          <w14:ligatures w14:val="none"/>
        </w:rPr>
        <w:t xml:space="preserve">Can be challenged before </w:t>
      </w:r>
      <w:r w:rsidRPr="0092737F">
        <w:rPr>
          <w:rFonts w:eastAsia="Times New Roman" w:cstheme="minorHAnsi"/>
          <w:b/>
          <w:bCs/>
          <w:kern w:val="0"/>
          <w:lang w:eastAsia="en-GB"/>
          <w14:ligatures w14:val="none"/>
        </w:rPr>
        <w:t>Commissioner (Appeals)</w:t>
      </w:r>
      <w:r w:rsidRPr="0092737F">
        <w:rPr>
          <w:rFonts w:eastAsia="Times New Roman" w:cstheme="minorHAnsi"/>
          <w:kern w:val="0"/>
          <w:lang w:eastAsia="en-GB"/>
          <w14:ligatures w14:val="none"/>
        </w:rPr>
        <w:t xml:space="preserve">, then </w:t>
      </w:r>
      <w:r w:rsidRPr="0092737F">
        <w:rPr>
          <w:rFonts w:eastAsia="Times New Roman" w:cstheme="minorHAnsi"/>
          <w:b/>
          <w:bCs/>
          <w:kern w:val="0"/>
          <w:lang w:eastAsia="en-GB"/>
          <w14:ligatures w14:val="none"/>
        </w:rPr>
        <w:t>CESTAT</w:t>
      </w:r>
      <w:r w:rsidRPr="0092737F">
        <w:rPr>
          <w:rFonts w:eastAsia="Times New Roman" w:cstheme="minorHAnsi"/>
          <w:kern w:val="0"/>
          <w:lang w:eastAsia="en-GB"/>
          <w14:ligatures w14:val="none"/>
        </w:rPr>
        <w:t>, High Court, and Supreme Court.</w:t>
      </w:r>
      <w:bookmarkStart w:id="0" w:name="_GoBack"/>
      <w:bookmarkEnd w:id="0"/>
    </w:p>
    <w:p w:rsidR="00676D03" w:rsidRPr="0092737F" w:rsidRDefault="00676D03" w:rsidP="00676D03">
      <w:pPr>
        <w:rPr>
          <w:rFonts w:eastAsia="Times New Roman" w:cstheme="minorHAnsi"/>
          <w:kern w:val="0"/>
          <w:lang w:eastAsia="en-GB"/>
          <w14:ligatures w14:val="none"/>
        </w:rPr>
      </w:pPr>
    </w:p>
    <w:p w:rsidR="00676D03" w:rsidRPr="0092737F" w:rsidRDefault="00676D03" w:rsidP="00676D03">
      <w:pPr>
        <w:spacing w:before="100" w:beforeAutospacing="1" w:after="100" w:afterAutospacing="1"/>
        <w:outlineLvl w:val="1"/>
        <w:rPr>
          <w:rFonts w:eastAsia="Times New Roman" w:cstheme="minorHAnsi"/>
          <w:b/>
          <w:bCs/>
          <w:kern w:val="0"/>
          <w:sz w:val="36"/>
          <w:szCs w:val="36"/>
          <w:lang w:eastAsia="en-GB"/>
          <w14:ligatures w14:val="none"/>
        </w:rPr>
      </w:pPr>
      <w:r w:rsidRPr="0092737F">
        <w:rPr>
          <w:rFonts w:eastAsia="Times New Roman" w:cstheme="minorHAnsi"/>
          <w:b/>
          <w:bCs/>
          <w:kern w:val="0"/>
          <w:sz w:val="36"/>
          <w:szCs w:val="36"/>
          <w:lang w:eastAsia="en-GB"/>
          <w14:ligatures w14:val="none"/>
        </w:rPr>
        <w:t> Key Takeaways</w:t>
      </w:r>
    </w:p>
    <w:p w:rsidR="00676D03" w:rsidRPr="0092737F" w:rsidRDefault="00676D03" w:rsidP="00676D03">
      <w:pPr>
        <w:numPr>
          <w:ilvl w:val="0"/>
          <w:numId w:val="11"/>
        </w:numPr>
        <w:spacing w:before="100" w:beforeAutospacing="1" w:after="100" w:afterAutospacing="1"/>
        <w:rPr>
          <w:rFonts w:eastAsia="Times New Roman" w:cstheme="minorHAnsi"/>
          <w:kern w:val="0"/>
          <w:lang w:eastAsia="en-GB"/>
          <w14:ligatures w14:val="none"/>
        </w:rPr>
      </w:pPr>
      <w:r w:rsidRPr="0092737F">
        <w:rPr>
          <w:rFonts w:eastAsia="Times New Roman" w:cstheme="minorHAnsi"/>
          <w:kern w:val="0"/>
          <w:lang w:eastAsia="en-GB"/>
          <w14:ligatures w14:val="none"/>
        </w:rPr>
        <w:t xml:space="preserve">Always </w:t>
      </w:r>
      <w:r w:rsidRPr="0092737F">
        <w:rPr>
          <w:rFonts w:eastAsia="Times New Roman" w:cstheme="minorHAnsi"/>
          <w:b/>
          <w:bCs/>
          <w:kern w:val="0"/>
          <w:lang w:eastAsia="en-GB"/>
          <w14:ligatures w14:val="none"/>
        </w:rPr>
        <w:t>reply to notices within timelines</w:t>
      </w:r>
      <w:r w:rsidRPr="0092737F">
        <w:rPr>
          <w:rFonts w:eastAsia="Times New Roman" w:cstheme="minorHAnsi"/>
          <w:kern w:val="0"/>
          <w:lang w:eastAsia="en-GB"/>
          <w14:ligatures w14:val="none"/>
        </w:rPr>
        <w:t xml:space="preserve"> to avoid ex-parte orders.</w:t>
      </w:r>
    </w:p>
    <w:p w:rsidR="00676D03" w:rsidRPr="0092737F" w:rsidRDefault="00676D03" w:rsidP="00676D03">
      <w:pPr>
        <w:numPr>
          <w:ilvl w:val="0"/>
          <w:numId w:val="11"/>
        </w:numPr>
        <w:spacing w:before="100" w:beforeAutospacing="1" w:after="100" w:afterAutospacing="1"/>
        <w:rPr>
          <w:rFonts w:eastAsia="Times New Roman" w:cstheme="minorHAnsi"/>
          <w:kern w:val="0"/>
          <w:lang w:eastAsia="en-GB"/>
          <w14:ligatures w14:val="none"/>
        </w:rPr>
      </w:pPr>
      <w:r w:rsidRPr="0092737F">
        <w:rPr>
          <w:rFonts w:eastAsia="Times New Roman" w:cstheme="minorHAnsi"/>
          <w:kern w:val="0"/>
          <w:lang w:eastAsia="en-GB"/>
          <w14:ligatures w14:val="none"/>
        </w:rPr>
        <w:t xml:space="preserve">Maintain </w:t>
      </w:r>
      <w:r w:rsidRPr="0092737F">
        <w:rPr>
          <w:rFonts w:eastAsia="Times New Roman" w:cstheme="minorHAnsi"/>
          <w:b/>
          <w:bCs/>
          <w:kern w:val="0"/>
          <w:lang w:eastAsia="en-GB"/>
          <w14:ligatures w14:val="none"/>
        </w:rPr>
        <w:t>complete documentation</w:t>
      </w:r>
      <w:r w:rsidRPr="0092737F">
        <w:rPr>
          <w:rFonts w:eastAsia="Times New Roman" w:cstheme="minorHAnsi"/>
          <w:kern w:val="0"/>
          <w:lang w:eastAsia="en-GB"/>
          <w14:ligatures w14:val="none"/>
        </w:rPr>
        <w:t xml:space="preserve"> (invoices, shipping bills, e-BRC, contracts).</w:t>
      </w:r>
    </w:p>
    <w:p w:rsidR="00676D03" w:rsidRPr="0092737F" w:rsidRDefault="00676D03" w:rsidP="00676D03">
      <w:pPr>
        <w:numPr>
          <w:ilvl w:val="0"/>
          <w:numId w:val="11"/>
        </w:numPr>
        <w:spacing w:before="100" w:beforeAutospacing="1" w:after="100" w:afterAutospacing="1"/>
        <w:rPr>
          <w:rFonts w:eastAsia="Times New Roman" w:cstheme="minorHAnsi"/>
          <w:kern w:val="0"/>
          <w:lang w:eastAsia="en-GB"/>
          <w14:ligatures w14:val="none"/>
        </w:rPr>
      </w:pPr>
      <w:r w:rsidRPr="0092737F">
        <w:rPr>
          <w:rFonts w:eastAsia="Times New Roman" w:cstheme="minorHAnsi"/>
          <w:kern w:val="0"/>
          <w:lang w:eastAsia="en-GB"/>
          <w14:ligatures w14:val="none"/>
        </w:rPr>
        <w:t xml:space="preserve">Use </w:t>
      </w:r>
      <w:r w:rsidRPr="0092737F">
        <w:rPr>
          <w:rFonts w:eastAsia="Times New Roman" w:cstheme="minorHAnsi"/>
          <w:b/>
          <w:bCs/>
          <w:kern w:val="0"/>
          <w:lang w:eastAsia="en-GB"/>
          <w14:ligatures w14:val="none"/>
        </w:rPr>
        <w:t>professional representation</w:t>
      </w:r>
      <w:r w:rsidRPr="0092737F">
        <w:rPr>
          <w:rFonts w:eastAsia="Times New Roman" w:cstheme="minorHAnsi"/>
          <w:kern w:val="0"/>
          <w:lang w:eastAsia="en-GB"/>
          <w14:ligatures w14:val="none"/>
        </w:rPr>
        <w:t xml:space="preserve"> (CA, CS, advocate, or trade consultant).</w:t>
      </w:r>
    </w:p>
    <w:p w:rsidR="00676D03" w:rsidRPr="0092737F" w:rsidRDefault="00676D03" w:rsidP="00676D03">
      <w:pPr>
        <w:numPr>
          <w:ilvl w:val="0"/>
          <w:numId w:val="11"/>
        </w:numPr>
        <w:spacing w:before="100" w:beforeAutospacing="1" w:after="100" w:afterAutospacing="1"/>
        <w:rPr>
          <w:rFonts w:eastAsia="Times New Roman" w:cstheme="minorHAnsi"/>
          <w:kern w:val="0"/>
          <w:lang w:eastAsia="en-GB"/>
          <w14:ligatures w14:val="none"/>
        </w:rPr>
      </w:pPr>
      <w:r w:rsidRPr="0092737F">
        <w:rPr>
          <w:rFonts w:eastAsia="Times New Roman" w:cstheme="minorHAnsi"/>
          <w:kern w:val="0"/>
          <w:lang w:eastAsia="en-GB"/>
          <w14:ligatures w14:val="none"/>
        </w:rPr>
        <w:t>Appeal hierarchy exists to ensure fair resolution.</w:t>
      </w:r>
    </w:p>
    <w:p w:rsidR="004D5FDE" w:rsidRPr="0092737F" w:rsidRDefault="00676D03" w:rsidP="008E2C18">
      <w:pPr>
        <w:numPr>
          <w:ilvl w:val="0"/>
          <w:numId w:val="11"/>
        </w:numPr>
        <w:spacing w:before="100" w:beforeAutospacing="1" w:after="100" w:afterAutospacing="1"/>
        <w:rPr>
          <w:rFonts w:eastAsia="Times New Roman" w:cstheme="minorHAnsi"/>
          <w:kern w:val="0"/>
          <w:lang w:eastAsia="en-GB"/>
          <w14:ligatures w14:val="none"/>
        </w:rPr>
      </w:pPr>
      <w:r w:rsidRPr="0092737F">
        <w:rPr>
          <w:rFonts w:eastAsia="Times New Roman" w:cstheme="minorHAnsi"/>
          <w:kern w:val="0"/>
          <w:lang w:eastAsia="en-GB"/>
          <w14:ligatures w14:val="none"/>
        </w:rPr>
        <w:t>Compliance culture reduces litigation risk.</w:t>
      </w:r>
    </w:p>
    <w:sectPr w:rsidR="004D5FDE" w:rsidRPr="0092737F">
      <w:footerReference w:type="even" r:id="rId7"/>
      <w:footerReference w:type="default" r:id="rId8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ED3358" w:rsidRDefault="00ED3358" w:rsidP="00F90A5E">
      <w:r>
        <w:separator/>
      </w:r>
    </w:p>
  </w:endnote>
  <w:endnote w:type="continuationSeparator" w:id="0">
    <w:p w:rsidR="00ED3358" w:rsidRDefault="00ED3358" w:rsidP="00F90A5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rPr>
        <w:rStyle w:val="PageNumber"/>
      </w:rPr>
      <w:id w:val="1356155276"/>
      <w:docPartObj>
        <w:docPartGallery w:val="Page Numbers (Bottom of Page)"/>
        <w:docPartUnique/>
      </w:docPartObj>
    </w:sdtPr>
    <w:sdtEndPr>
      <w:rPr>
        <w:rStyle w:val="PageNumber"/>
      </w:rPr>
    </w:sdtEndPr>
    <w:sdtContent>
      <w:p w:rsidR="00F90A5E" w:rsidRDefault="00F90A5E" w:rsidP="00FA10A7">
        <w:pPr>
          <w:pStyle w:val="Footer"/>
          <w:framePr w:wrap="none" w:vAnchor="text" w:hAnchor="margin" w:xAlign="right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end"/>
        </w:r>
      </w:p>
    </w:sdtContent>
  </w:sdt>
  <w:p w:rsidR="00F90A5E" w:rsidRDefault="00F90A5E" w:rsidP="00F90A5E">
    <w:pPr>
      <w:pStyle w:val="Footer"/>
      <w:ind w:right="360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rPr>
        <w:rStyle w:val="PageNumber"/>
      </w:rPr>
      <w:id w:val="-825365769"/>
      <w:docPartObj>
        <w:docPartGallery w:val="Page Numbers (Bottom of Page)"/>
        <w:docPartUnique/>
      </w:docPartObj>
    </w:sdtPr>
    <w:sdtEndPr>
      <w:rPr>
        <w:rStyle w:val="PageNumber"/>
      </w:rPr>
    </w:sdtEndPr>
    <w:sdtContent>
      <w:p w:rsidR="00F90A5E" w:rsidRDefault="00F90A5E" w:rsidP="00FA10A7">
        <w:pPr>
          <w:pStyle w:val="Footer"/>
          <w:framePr w:wrap="none" w:vAnchor="text" w:hAnchor="margin" w:xAlign="right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 w:rsidR="0092737F">
          <w:rPr>
            <w:rStyle w:val="PageNumber"/>
            <w:noProof/>
          </w:rPr>
          <w:t>1</w:t>
        </w:r>
        <w:r>
          <w:rPr>
            <w:rStyle w:val="PageNumber"/>
          </w:rPr>
          <w:fldChar w:fldCharType="end"/>
        </w:r>
      </w:p>
    </w:sdtContent>
  </w:sdt>
  <w:p w:rsidR="00F90A5E" w:rsidRDefault="00F90A5E" w:rsidP="00F90A5E">
    <w:pPr>
      <w:pStyle w:val="Footer"/>
      <w:ind w:right="360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ED3358" w:rsidRDefault="00ED3358" w:rsidP="00F90A5E">
      <w:r>
        <w:separator/>
      </w:r>
    </w:p>
  </w:footnote>
  <w:footnote w:type="continuationSeparator" w:id="0">
    <w:p w:rsidR="00ED3358" w:rsidRDefault="00ED3358" w:rsidP="00F90A5E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3A86811"/>
    <w:multiLevelType w:val="multilevel"/>
    <w:tmpl w:val="269A31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732ACB"/>
    <w:multiLevelType w:val="multilevel"/>
    <w:tmpl w:val="D770A0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D756141"/>
    <w:multiLevelType w:val="multilevel"/>
    <w:tmpl w:val="AE8CAD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13E0DAF"/>
    <w:multiLevelType w:val="multilevel"/>
    <w:tmpl w:val="4B44BE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9F37E3F"/>
    <w:multiLevelType w:val="multilevel"/>
    <w:tmpl w:val="03424D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A0D6A2B"/>
    <w:multiLevelType w:val="multilevel"/>
    <w:tmpl w:val="A04892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F961D36"/>
    <w:multiLevelType w:val="multilevel"/>
    <w:tmpl w:val="8A322E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386098E"/>
    <w:multiLevelType w:val="multilevel"/>
    <w:tmpl w:val="9752A3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CE34924"/>
    <w:multiLevelType w:val="multilevel"/>
    <w:tmpl w:val="519ADE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3B24126"/>
    <w:multiLevelType w:val="multilevel"/>
    <w:tmpl w:val="425880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C7566DC"/>
    <w:multiLevelType w:val="multilevel"/>
    <w:tmpl w:val="96AA92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4"/>
  </w:num>
  <w:num w:numId="2">
    <w:abstractNumId w:val="8"/>
  </w:num>
  <w:num w:numId="3">
    <w:abstractNumId w:val="10"/>
  </w:num>
  <w:num w:numId="4">
    <w:abstractNumId w:val="3"/>
  </w:num>
  <w:num w:numId="5">
    <w:abstractNumId w:val="0"/>
  </w:num>
  <w:num w:numId="6">
    <w:abstractNumId w:val="5"/>
  </w:num>
  <w:num w:numId="7">
    <w:abstractNumId w:val="9"/>
  </w:num>
  <w:num w:numId="8">
    <w:abstractNumId w:val="6"/>
  </w:num>
  <w:num w:numId="9">
    <w:abstractNumId w:val="1"/>
  </w:num>
  <w:num w:numId="10">
    <w:abstractNumId w:val="2"/>
  </w:num>
  <w:num w:numId="11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90A5E"/>
    <w:rsid w:val="00081FDA"/>
    <w:rsid w:val="004D5FDE"/>
    <w:rsid w:val="00676D03"/>
    <w:rsid w:val="006D1AA8"/>
    <w:rsid w:val="008271B8"/>
    <w:rsid w:val="008E2C18"/>
    <w:rsid w:val="0092737F"/>
    <w:rsid w:val="00BD7CC0"/>
    <w:rsid w:val="00C435BF"/>
    <w:rsid w:val="00DF3A25"/>
    <w:rsid w:val="00E0750A"/>
    <w:rsid w:val="00ED3358"/>
    <w:rsid w:val="00F90A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29069975-952F-F241-90A6-6F615E7253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90A5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90A5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90A5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90A5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90A5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90A5E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90A5E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90A5E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90A5E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90A5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F90A5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90A5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90A5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90A5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90A5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90A5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90A5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90A5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90A5E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90A5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90A5E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90A5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90A5E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90A5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90A5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90A5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90A5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90A5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90A5E"/>
    <w:rPr>
      <w:b/>
      <w:bCs/>
      <w:smallCaps/>
      <w:color w:val="2F5496" w:themeColor="accent1" w:themeShade="BF"/>
      <w:spacing w:val="5"/>
    </w:rPr>
  </w:style>
  <w:style w:type="paragraph" w:styleId="Footer">
    <w:name w:val="footer"/>
    <w:basedOn w:val="Normal"/>
    <w:link w:val="FooterChar"/>
    <w:uiPriority w:val="99"/>
    <w:unhideWhenUsed/>
    <w:rsid w:val="00F90A5E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F90A5E"/>
  </w:style>
  <w:style w:type="character" w:styleId="PageNumber">
    <w:name w:val="page number"/>
    <w:basedOn w:val="DefaultParagraphFont"/>
    <w:uiPriority w:val="99"/>
    <w:semiHidden/>
    <w:unhideWhenUsed/>
    <w:rsid w:val="00F90A5E"/>
  </w:style>
  <w:style w:type="paragraph" w:customStyle="1" w:styleId="p1">
    <w:name w:val="p1"/>
    <w:basedOn w:val="Normal"/>
    <w:rsid w:val="00676D03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character" w:customStyle="1" w:styleId="s1">
    <w:name w:val="s1"/>
    <w:basedOn w:val="DefaultParagraphFont"/>
    <w:rsid w:val="00676D03"/>
  </w:style>
  <w:style w:type="character" w:customStyle="1" w:styleId="s2">
    <w:name w:val="s2"/>
    <w:basedOn w:val="DefaultParagraphFont"/>
    <w:rsid w:val="00676D03"/>
  </w:style>
  <w:style w:type="character" w:customStyle="1" w:styleId="apple-converted-space">
    <w:name w:val="apple-converted-space"/>
    <w:basedOn w:val="DefaultParagraphFont"/>
    <w:rsid w:val="00676D0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2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109</Words>
  <Characters>623</Characters>
  <Application>Microsoft Office Word</Application>
  <DocSecurity>0</DocSecurity>
  <Lines>5</Lines>
  <Paragraphs>1</Paragraphs>
  <ScaleCrop>false</ScaleCrop>
  <Company/>
  <LinksUpToDate>false</LinksUpToDate>
  <CharactersWithSpaces>731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Vaibhav Nagarkar</dc:creator>
  <cp:keywords/>
  <dc:description/>
  <cp:lastModifiedBy>Amit Tatar</cp:lastModifiedBy>
  <cp:revision>5</cp:revision>
  <dcterms:created xsi:type="dcterms:W3CDTF">2025-08-31T15:13:00Z</dcterms:created>
  <dcterms:modified xsi:type="dcterms:W3CDTF">2025-10-20T09:02:00Z</dcterms:modified>
</cp:coreProperties>
</file>