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Plant Disease Detection System</w:t>
      </w:r>
    </w:p>
    <w:p>
      <w:pPr>
        <w:jc w:val="center"/>
      </w:pPr>
      <w:r>
        <w:rPr>
          <w:i/>
          <w:sz w:val="24"/>
        </w:rPr>
        <w:t>Updated Model Theory, Training Methodology, and Run Guide</w:t>
      </w:r>
    </w:p>
    <w:p>
      <w:pPr>
        <w:pStyle w:val="Heading1"/>
        <w:spacing w:before="320" w:after="120"/>
      </w:pPr>
      <w:r>
        <w:rPr>
          <w:color w:val="2E74B5"/>
        </w:rPr>
        <w:t>Executive Summary</w:t>
      </w:r>
    </w:p>
    <w:p>
      <w:r>
        <w:t>The project has been updated from a small custom CNN to an EfficientNetV2B0 transfer-learning pipeline. The goal is to improve disease classification accuracy, make validation results easier to measure, and ensure that model output indices map to the correct disease labels in the user interface.</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Task</w:t>
            </w:r>
          </w:p>
        </w:tc>
        <w:tc>
          <w:tcPr>
            <w:tcW w:type="dxa" w:w="6660"/>
            <w:vAlign w:val="center"/>
          </w:tcPr>
          <w:p>
            <w:pPr>
              <w:spacing w:after="0"/>
            </w:pPr>
            <w:r>
              <w:rPr>
                <w:sz w:val="20"/>
              </w:rPr>
              <w:t>Multi-class plant disease classification from leaf images.</w:t>
            </w:r>
          </w:p>
        </w:tc>
      </w:tr>
      <w:tr>
        <w:tc>
          <w:tcPr>
            <w:tcW w:type="dxa" w:w="2700"/>
            <w:vAlign w:val="center"/>
          </w:tcPr>
          <w:p>
            <w:pPr>
              <w:spacing w:after="0"/>
            </w:pPr>
            <w:r>
              <w:rPr>
                <w:sz w:val="20"/>
              </w:rPr>
              <w:t>Classes</w:t>
            </w:r>
          </w:p>
        </w:tc>
        <w:tc>
          <w:tcPr>
            <w:tcW w:type="dxa" w:w="6660"/>
            <w:vAlign w:val="center"/>
          </w:tcPr>
          <w:p>
            <w:pPr>
              <w:spacing w:after="0"/>
            </w:pPr>
            <w:r>
              <w:rPr>
                <w:sz w:val="20"/>
              </w:rPr>
              <w:t>38 crop and disease categories.</w:t>
            </w:r>
          </w:p>
        </w:tc>
      </w:tr>
      <w:tr>
        <w:tc>
          <w:tcPr>
            <w:tcW w:type="dxa" w:w="2700"/>
            <w:vAlign w:val="center"/>
          </w:tcPr>
          <w:p>
            <w:pPr>
              <w:spacing w:after="0"/>
            </w:pPr>
            <w:r>
              <w:rPr>
                <w:sz w:val="20"/>
              </w:rPr>
              <w:t>Dataset split</w:t>
            </w:r>
          </w:p>
        </w:tc>
        <w:tc>
          <w:tcPr>
            <w:tcW w:type="dxa" w:w="6660"/>
            <w:vAlign w:val="center"/>
          </w:tcPr>
          <w:p>
            <w:pPr>
              <w:spacing w:after="0"/>
            </w:pPr>
            <w:r>
              <w:rPr>
                <w:sz w:val="20"/>
              </w:rPr>
              <w:t>8691 training images and 2158 validation images.</w:t>
            </w:r>
          </w:p>
        </w:tc>
      </w:tr>
      <w:tr>
        <w:tc>
          <w:tcPr>
            <w:tcW w:type="dxa" w:w="2700"/>
            <w:vAlign w:val="center"/>
          </w:tcPr>
          <w:p>
            <w:pPr>
              <w:spacing w:after="0"/>
            </w:pPr>
            <w:r>
              <w:rPr>
                <w:sz w:val="20"/>
              </w:rPr>
              <w:t>Updated model</w:t>
            </w:r>
          </w:p>
        </w:tc>
        <w:tc>
          <w:tcPr>
            <w:tcW w:type="dxa" w:w="6660"/>
            <w:vAlign w:val="center"/>
          </w:tcPr>
          <w:p>
            <w:pPr>
              <w:spacing w:after="0"/>
            </w:pPr>
            <w:r>
              <w:rPr>
                <w:sz w:val="20"/>
              </w:rPr>
              <w:t>EfficientNetV2B0 transfer learning with a 38-class softmax head.</w:t>
            </w:r>
          </w:p>
        </w:tc>
      </w:tr>
      <w:tr>
        <w:tc>
          <w:tcPr>
            <w:tcW w:type="dxa" w:w="2700"/>
            <w:vAlign w:val="center"/>
          </w:tcPr>
          <w:p>
            <w:pPr>
              <w:spacing w:after="0"/>
            </w:pPr>
            <w:r>
              <w:rPr>
                <w:sz w:val="20"/>
              </w:rPr>
              <w:t>Accuracy check</w:t>
            </w:r>
          </w:p>
        </w:tc>
        <w:tc>
          <w:tcPr>
            <w:tcW w:type="dxa" w:w="6660"/>
            <w:vAlign w:val="center"/>
          </w:tcPr>
          <w:p>
            <w:pPr>
              <w:spacing w:after="0"/>
            </w:pPr>
            <w:r>
              <w:rPr>
                <w:sz w:val="20"/>
              </w:rPr>
              <w:t>Run python evaluate_model.py after training.</w:t>
            </w:r>
          </w:p>
        </w:tc>
      </w:tr>
    </w:tbl>
    <w:p/>
    <w:p>
      <w:pPr>
        <w:pStyle w:val="Heading1"/>
        <w:spacing w:before="320" w:after="120"/>
      </w:pPr>
      <w:r>
        <w:rPr>
          <w:color w:val="2E74B5"/>
        </w:rPr>
        <w:t>Problem Statement</w:t>
      </w:r>
    </w:p>
    <w:p>
      <w:r>
        <w:t>Plant disease identification from leaf images is a computer-vision classification problem. The system receives a leaf image and predicts the most likely crop/disease class, then displays confidence scores and treatment recommendations. This helps users perform first-level screening when expert inspection is slow or unavailable.</w:t>
      </w:r>
    </w:p>
    <w:p>
      <w:pPr>
        <w:pStyle w:val="Heading1"/>
        <w:spacing w:before="320" w:after="120"/>
      </w:pPr>
      <w:r>
        <w:rPr>
          <w:color w:val="2E74B5"/>
        </w:rPr>
        <w:t>Previous Model Limitation</w:t>
      </w:r>
    </w:p>
    <w:p>
      <w:r>
        <w:t>The earlier project used a custom CNN built from convolution, pooling, batch-normalization, dropout, flatten, and dense layers. This approach can work, but it must learn all visual features from the project dataset itself. The saved history showed unstable validation performance, with validation accuracy peaking near 73.96%. The current saved H5 file also evaluated poorly against the validation split, so retraining is required.</w:t>
      </w:r>
    </w:p>
    <w:p>
      <w:pPr>
        <w:pStyle w:val="Heading1"/>
        <w:spacing w:before="320" w:after="120"/>
      </w:pPr>
      <w:r>
        <w:rPr>
          <w:color w:val="2E74B5"/>
        </w:rPr>
        <w:t>Updated Model Theory</w:t>
      </w:r>
    </w:p>
    <w:p>
      <w:r>
        <w:t>The updated system uses EfficientNetV2B0 transfer learning. EfficientNetV2 is a modern convolutional neural network family designed for efficient image classification. It uses pretrained ImageNet weights to start from learned visual representations such as edges, colors, textures, and shapes.</w:t>
      </w:r>
    </w:p>
    <w:p>
      <w:r>
        <w:t>Transfer learning improves accuracy because the model does not start from random weights. Instead, the pretrained backbone supplies strong general image features, and the project trains a new classification head for plant disease categories.</w:t>
      </w:r>
    </w:p>
    <w:p>
      <w:pPr>
        <w:pStyle w:val="Heading1"/>
        <w:spacing w:before="320" w:after="120"/>
      </w:pPr>
      <w:r>
        <w:rPr>
          <w:color w:val="2E74B5"/>
        </w:rPr>
        <w:t>Model Architecture In Simple Words</w:t>
      </w:r>
    </w:p>
    <w:p>
      <w:r>
        <w:t>The model has three main parts. First, the input layer receives one RGB image resized to 224 x 224 pixels. Second, the EfficientNetV2B0 backbone extracts visual features such as edges, leaf texture, disease spots, color changes, rust, mildew-like areas, and blight patterns. Third, the classification head converts those features into probabilities for the 38 plant disease classes.</w:t>
      </w:r>
    </w:p>
    <w:p>
      <w:r>
        <w:t>The final layer uses softmax. Softmax converts raw scores into probabilities that add up to 1. The class with the highest probability becomes the main prediction, and the system also displays the top 3 probabilities.</w:t>
      </w:r>
    </w:p>
    <w:p>
      <w:pPr>
        <w:pStyle w:val="Heading1"/>
        <w:spacing w:before="320" w:after="120"/>
      </w:pPr>
      <w:r>
        <w:rPr>
          <w:color w:val="2E74B5"/>
        </w:rPr>
        <w:t>Training Methodology</w:t>
      </w:r>
    </w:p>
    <w:p>
      <w:pPr>
        <w:pStyle w:val="ListNumber"/>
        <w:spacing w:after="80" w:line="276" w:lineRule="auto"/>
      </w:pPr>
      <w:r>
        <w:t>Classifier-head phase: freeze EfficientNetV2B0 and train the final disease classifier layers.</w:t>
      </w:r>
    </w:p>
    <w:p>
      <w:pPr>
        <w:pStyle w:val="ListNumber"/>
        <w:spacing w:after="80" w:line="276" w:lineRule="auto"/>
      </w:pPr>
      <w:r>
        <w:t>Fine-tuning phase: unfreeze upper backbone layers and train with a small learning rate.</w:t>
      </w:r>
    </w:p>
    <w:p>
      <w:pPr>
        <w:pStyle w:val="ListNumber"/>
        <w:spacing w:after="80" w:line="276" w:lineRule="auto"/>
      </w:pPr>
      <w:r>
        <w:t>Use class weighting so minority disease classes contribute more strongly to the loss.</w:t>
      </w:r>
    </w:p>
    <w:p>
      <w:pPr>
        <w:pStyle w:val="ListNumber"/>
        <w:spacing w:after="80" w:line="276" w:lineRule="auto"/>
      </w:pPr>
      <w:r>
        <w:t>Use augmentation to improve robustness to small rotations, shifts, zoom, and lighting changes.</w:t>
      </w:r>
    </w:p>
    <w:p>
      <w:pPr>
        <w:pStyle w:val="ListNumber"/>
        <w:spacing w:after="80" w:line="276" w:lineRule="auto"/>
      </w:pPr>
      <w:r>
        <w:t>Save model metadata and class-index mapping to keep inference behavior aligned with training.</w:t>
      </w:r>
    </w:p>
    <w:p>
      <w:pPr>
        <w:pStyle w:val="Heading2"/>
        <w:spacing w:before="240" w:after="120"/>
      </w:pPr>
      <w:r>
        <w:rPr>
          <w:color w:val="2E74B5"/>
        </w:rPr>
        <w:t>Training Defaults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Image size</w:t>
            </w:r>
          </w:p>
        </w:tc>
        <w:tc>
          <w:tcPr>
            <w:tcW w:type="dxa" w:w="6660"/>
            <w:vAlign w:val="center"/>
          </w:tcPr>
          <w:p>
            <w:pPr>
              <w:spacing w:after="0"/>
            </w:pPr>
            <w:r>
              <w:rPr>
                <w:sz w:val="20"/>
              </w:rPr>
              <w:t>224 x 224 pixels.</w:t>
            </w:r>
          </w:p>
        </w:tc>
      </w:tr>
      <w:tr>
        <w:tc>
          <w:tcPr>
            <w:tcW w:type="dxa" w:w="2700"/>
            <w:vAlign w:val="center"/>
          </w:tcPr>
          <w:p>
            <w:pPr>
              <w:spacing w:after="0"/>
            </w:pPr>
            <w:r>
              <w:rPr>
                <w:sz w:val="20"/>
              </w:rPr>
              <w:t>Batch size</w:t>
            </w:r>
          </w:p>
        </w:tc>
        <w:tc>
          <w:tcPr>
            <w:tcW w:type="dxa" w:w="6660"/>
            <w:vAlign w:val="center"/>
          </w:tcPr>
          <w:p>
            <w:pPr>
              <w:spacing w:after="0"/>
            </w:pPr>
            <w:r>
              <w:rPr>
                <w:sz w:val="20"/>
              </w:rPr>
              <w:t>32 images per batch.</w:t>
            </w:r>
          </w:p>
        </w:tc>
      </w:tr>
      <w:tr>
        <w:tc>
          <w:tcPr>
            <w:tcW w:type="dxa" w:w="2700"/>
            <w:vAlign w:val="center"/>
          </w:tcPr>
          <w:p>
            <w:pPr>
              <w:spacing w:after="0"/>
            </w:pPr>
            <w:r>
              <w:rPr>
                <w:sz w:val="20"/>
              </w:rPr>
              <w:t>Maximum epochs</w:t>
            </w:r>
          </w:p>
        </w:tc>
        <w:tc>
          <w:tcPr>
            <w:tcW w:type="dxa" w:w="6660"/>
            <w:vAlign w:val="center"/>
          </w:tcPr>
          <w:p>
            <w:pPr>
              <w:spacing w:after="0"/>
            </w:pPr>
            <w:r>
              <w:rPr>
                <w:sz w:val="20"/>
              </w:rPr>
              <w:t>80 total epochs.</w:t>
            </w:r>
          </w:p>
        </w:tc>
      </w:tr>
      <w:tr>
        <w:tc>
          <w:tcPr>
            <w:tcW w:type="dxa" w:w="2700"/>
            <w:vAlign w:val="center"/>
          </w:tcPr>
          <w:p>
            <w:pPr>
              <w:spacing w:after="0"/>
            </w:pPr>
            <w:r>
              <w:rPr>
                <w:sz w:val="20"/>
              </w:rPr>
              <w:t>Initial epochs</w:t>
            </w:r>
          </w:p>
        </w:tc>
        <w:tc>
          <w:tcPr>
            <w:tcW w:type="dxa" w:w="6660"/>
            <w:vAlign w:val="center"/>
          </w:tcPr>
          <w:p>
            <w:pPr>
              <w:spacing w:after="0"/>
            </w:pPr>
            <w:r>
              <w:rPr>
                <w:sz w:val="20"/>
              </w:rPr>
              <w:t>20 epochs for classifier-head training.</w:t>
            </w:r>
          </w:p>
        </w:tc>
      </w:tr>
      <w:tr>
        <w:tc>
          <w:tcPr>
            <w:tcW w:type="dxa" w:w="2700"/>
            <w:vAlign w:val="center"/>
          </w:tcPr>
          <w:p>
            <w:pPr>
              <w:spacing w:after="0"/>
            </w:pPr>
            <w:r>
              <w:rPr>
                <w:sz w:val="20"/>
              </w:rPr>
              <w:t>Initial learning rate</w:t>
            </w:r>
          </w:p>
        </w:tc>
        <w:tc>
          <w:tcPr>
            <w:tcW w:type="dxa" w:w="6660"/>
            <w:vAlign w:val="center"/>
          </w:tcPr>
          <w:p>
            <w:pPr>
              <w:spacing w:after="0"/>
            </w:pPr>
            <w:r>
              <w:rPr>
                <w:sz w:val="20"/>
              </w:rPr>
              <w:t>0.001.</w:t>
            </w:r>
          </w:p>
        </w:tc>
      </w:tr>
      <w:tr>
        <w:tc>
          <w:tcPr>
            <w:tcW w:type="dxa" w:w="2700"/>
            <w:vAlign w:val="center"/>
          </w:tcPr>
          <w:p>
            <w:pPr>
              <w:spacing w:after="0"/>
            </w:pPr>
            <w:r>
              <w:rPr>
                <w:sz w:val="20"/>
              </w:rPr>
              <w:t>Fine-tuning learning rate</w:t>
            </w:r>
          </w:p>
        </w:tc>
        <w:tc>
          <w:tcPr>
            <w:tcW w:type="dxa" w:w="6660"/>
            <w:vAlign w:val="center"/>
          </w:tcPr>
          <w:p>
            <w:pPr>
              <w:spacing w:after="0"/>
            </w:pPr>
            <w:r>
              <w:rPr>
                <w:sz w:val="20"/>
              </w:rPr>
              <w:t>0.00001.</w:t>
            </w:r>
          </w:p>
        </w:tc>
      </w:tr>
      <w:tr>
        <w:tc>
          <w:tcPr>
            <w:tcW w:type="dxa" w:w="2700"/>
            <w:vAlign w:val="center"/>
          </w:tcPr>
          <w:p>
            <w:pPr>
              <w:spacing w:after="0"/>
            </w:pPr>
            <w:r>
              <w:rPr>
                <w:sz w:val="20"/>
              </w:rPr>
              <w:t>Dropout</w:t>
            </w:r>
          </w:p>
        </w:tc>
        <w:tc>
          <w:tcPr>
            <w:tcW w:type="dxa" w:w="6660"/>
            <w:vAlign w:val="center"/>
          </w:tcPr>
          <w:p>
            <w:pPr>
              <w:spacing w:after="0"/>
            </w:pPr>
            <w:r>
              <w:rPr>
                <w:sz w:val="20"/>
              </w:rPr>
              <w:t>0.35 in the classification head.</w:t>
            </w:r>
          </w:p>
        </w:tc>
      </w:tr>
      <w:tr>
        <w:tc>
          <w:tcPr>
            <w:tcW w:type="dxa" w:w="2700"/>
            <w:vAlign w:val="center"/>
          </w:tcPr>
          <w:p>
            <w:pPr>
              <w:spacing w:after="0"/>
            </w:pPr>
            <w:r>
              <w:rPr>
                <w:sz w:val="20"/>
              </w:rPr>
              <w:t>Pretrained weights</w:t>
            </w:r>
          </w:p>
        </w:tc>
        <w:tc>
          <w:tcPr>
            <w:tcW w:type="dxa" w:w="6660"/>
            <w:vAlign w:val="center"/>
          </w:tcPr>
          <w:p>
            <w:pPr>
              <w:spacing w:after="0"/>
            </w:pPr>
            <w:r>
              <w:rPr>
                <w:sz w:val="20"/>
              </w:rPr>
              <w:t>ImageNet.</w:t>
            </w:r>
          </w:p>
        </w:tc>
      </w:tr>
      <w:tr>
        <w:tc>
          <w:tcPr>
            <w:tcW w:type="dxa" w:w="2700"/>
            <w:vAlign w:val="center"/>
          </w:tcPr>
          <w:p>
            <w:pPr>
              <w:spacing w:after="0"/>
            </w:pPr>
            <w:r>
              <w:rPr>
                <w:sz w:val="20"/>
              </w:rPr>
              <w:t>Random seed</w:t>
            </w:r>
          </w:p>
        </w:tc>
        <w:tc>
          <w:tcPr>
            <w:tcW w:type="dxa" w:w="6660"/>
            <w:vAlign w:val="center"/>
          </w:tcPr>
          <w:p>
            <w:pPr>
              <w:spacing w:after="0"/>
            </w:pPr>
            <w:r>
              <w:rPr>
                <w:sz w:val="20"/>
              </w:rPr>
              <w:t>42.</w:t>
            </w:r>
          </w:p>
        </w:tc>
      </w:tr>
    </w:tbl>
    <w:p/>
    <w:p>
      <w:pPr>
        <w:pStyle w:val="Heading2"/>
        <w:spacing w:before="240" w:after="120"/>
      </w:pPr>
      <w:r>
        <w:rPr>
          <w:color w:val="2E74B5"/>
        </w:rPr>
        <w:t>Training Callbacks and Stopping Rules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ModelCheckpoint</w:t>
            </w:r>
          </w:p>
        </w:tc>
        <w:tc>
          <w:tcPr>
            <w:tcW w:type="dxa" w:w="6660"/>
            <w:vAlign w:val="center"/>
          </w:tcPr>
          <w:p>
            <w:pPr>
              <w:spacing w:after="0"/>
            </w:pPr>
            <w:r>
              <w:rPr>
                <w:sz w:val="20"/>
              </w:rPr>
              <w:t>Monitors val_accuracy and saves the best model to models/plant_disease.h5.</w:t>
            </w:r>
          </w:p>
        </w:tc>
      </w:tr>
      <w:tr>
        <w:tc>
          <w:tcPr>
            <w:tcW w:type="dxa" w:w="2700"/>
            <w:vAlign w:val="center"/>
          </w:tcPr>
          <w:p>
            <w:pPr>
              <w:spacing w:after="0"/>
            </w:pPr>
            <w:r>
              <w:rPr>
                <w:sz w:val="20"/>
              </w:rPr>
              <w:t>EarlyStopping</w:t>
            </w:r>
          </w:p>
        </w:tc>
        <w:tc>
          <w:tcPr>
            <w:tcW w:type="dxa" w:w="6660"/>
            <w:vAlign w:val="center"/>
          </w:tcPr>
          <w:p>
            <w:pPr>
              <w:spacing w:after="0"/>
            </w:pPr>
            <w:r>
              <w:rPr>
                <w:sz w:val="20"/>
              </w:rPr>
              <w:t>Monitors val_loss with patience 12 and min_delta 0.0001.</w:t>
            </w:r>
          </w:p>
        </w:tc>
      </w:tr>
      <w:tr>
        <w:tc>
          <w:tcPr>
            <w:tcW w:type="dxa" w:w="2700"/>
            <w:vAlign w:val="center"/>
          </w:tcPr>
          <w:p>
            <w:pPr>
              <w:spacing w:after="0"/>
            </w:pPr>
            <w:r>
              <w:rPr>
                <w:sz w:val="20"/>
              </w:rPr>
              <w:t>Restore best weights</w:t>
            </w:r>
          </w:p>
        </w:tc>
        <w:tc>
          <w:tcPr>
            <w:tcW w:type="dxa" w:w="6660"/>
            <w:vAlign w:val="center"/>
          </w:tcPr>
          <w:p>
            <w:pPr>
              <w:spacing w:after="0"/>
            </w:pPr>
            <w:r>
              <w:rPr>
                <w:sz w:val="20"/>
              </w:rPr>
              <w:t>Keeps the best validation model rather than only the final epoch.</w:t>
            </w:r>
          </w:p>
        </w:tc>
      </w:tr>
      <w:tr>
        <w:tc>
          <w:tcPr>
            <w:tcW w:type="dxa" w:w="2700"/>
            <w:vAlign w:val="center"/>
          </w:tcPr>
          <w:p>
            <w:pPr>
              <w:spacing w:after="0"/>
            </w:pPr>
            <w:r>
              <w:rPr>
                <w:sz w:val="20"/>
              </w:rPr>
              <w:t>ReduceLROnPlateau</w:t>
            </w:r>
          </w:p>
        </w:tc>
        <w:tc>
          <w:tcPr>
            <w:tcW w:type="dxa" w:w="6660"/>
            <w:vAlign w:val="center"/>
          </w:tcPr>
          <w:p>
            <w:pPr>
              <w:spacing w:after="0"/>
            </w:pPr>
            <w:r>
              <w:rPr>
                <w:sz w:val="20"/>
              </w:rPr>
              <w:t>Reduces learning rate by factor 0.2 after 4 stuck validation-loss epochs; minimum learning rate is 1e-7.</w:t>
            </w:r>
          </w:p>
        </w:tc>
      </w:tr>
      <w:tr>
        <w:tc>
          <w:tcPr>
            <w:tcW w:type="dxa" w:w="2700"/>
            <w:vAlign w:val="center"/>
          </w:tcPr>
          <w:p>
            <w:pPr>
              <w:spacing w:after="0"/>
            </w:pPr>
            <w:r>
              <w:rPr>
                <w:sz w:val="20"/>
              </w:rPr>
              <w:t>CSVLogger</w:t>
            </w:r>
          </w:p>
        </w:tc>
        <w:tc>
          <w:tcPr>
            <w:tcW w:type="dxa" w:w="6660"/>
            <w:vAlign w:val="center"/>
          </w:tcPr>
          <w:p>
            <w:pPr>
              <w:spacing w:after="0"/>
            </w:pPr>
            <w:r>
              <w:rPr>
                <w:sz w:val="20"/>
              </w:rPr>
              <w:t>Writes epoch-by-epoch metrics to models/training_log.csv.</w:t>
            </w:r>
          </w:p>
        </w:tc>
      </w:tr>
    </w:tbl>
    <w:p/>
    <w:p>
      <w:pPr>
        <w:pStyle w:val="Heading1"/>
        <w:spacing w:before="320" w:after="120"/>
      </w:pPr>
      <w:r>
        <w:rPr>
          <w:color w:val="2E74B5"/>
        </w:rPr>
        <w:t>Why Accuracy Should Improve</w:t>
      </w:r>
    </w:p>
    <w:p>
      <w:pPr>
        <w:pStyle w:val="ListBullet"/>
        <w:spacing w:after="80" w:line="276" w:lineRule="auto"/>
      </w:pPr>
      <w:r>
        <w:t>Pretrained features usually converge faster and generalize better than a small CNN trained from scratch.</w:t>
      </w:r>
    </w:p>
    <w:p>
      <w:pPr>
        <w:pStyle w:val="ListBullet"/>
        <w:spacing w:after="80" w:line="276" w:lineRule="auto"/>
      </w:pPr>
      <w:r>
        <w:t>Class weighting reduces bias toward classes with many images.</w:t>
      </w:r>
    </w:p>
    <w:p>
      <w:pPr>
        <w:pStyle w:val="ListBullet"/>
        <w:spacing w:after="80" w:line="276" w:lineRule="auto"/>
      </w:pPr>
      <w:r>
        <w:t>Fine-tuning lets the backbone adapt to leaf texture, spots, mold, rust, and blight patterns.</w:t>
      </w:r>
    </w:p>
    <w:p>
      <w:pPr>
        <w:pStyle w:val="ListBullet"/>
        <w:spacing w:after="80" w:line="276" w:lineRule="auto"/>
      </w:pPr>
      <w:r>
        <w:t>Correct class-index mapping prevents the app from showing the wrong disease name.</w:t>
      </w:r>
    </w:p>
    <w:p>
      <w:pPr>
        <w:pStyle w:val="Heading1"/>
        <w:spacing w:before="320" w:after="120"/>
      </w:pPr>
      <w:r>
        <w:rPr>
          <w:color w:val="2E74B5"/>
        </w:rPr>
        <w:t>Prediction Pipeline</w:t>
      </w:r>
    </w:p>
    <w:p>
      <w:pPr>
        <w:pStyle w:val="ListNumber"/>
        <w:spacing w:after="80" w:line="276" w:lineRule="auto"/>
      </w:pPr>
      <w:r>
        <w:t>The image is uploaded through Streamlit or React/FastAPI.</w:t>
      </w:r>
    </w:p>
    <w:p>
      <w:pPr>
        <w:pStyle w:val="ListNumber"/>
        <w:spacing w:after="80" w:line="276" w:lineRule="auto"/>
      </w:pPr>
      <w:r>
        <w:t>The image is converted to RGB and resized to 224 x 224.</w:t>
      </w:r>
    </w:p>
    <w:p>
      <w:pPr>
        <w:pStyle w:val="ListNumber"/>
        <w:spacing w:after="80" w:line="276" w:lineRule="auto"/>
      </w:pPr>
      <w:r>
        <w:t>Preprocessing is selected from models/model_metadata.json.</w:t>
      </w:r>
    </w:p>
    <w:p>
      <w:pPr>
        <w:pStyle w:val="ListNumber"/>
        <w:spacing w:after="80" w:line="276" w:lineRule="auto"/>
      </w:pPr>
      <w:r>
        <w:t>The model outputs probabilities for all 38 classes.</w:t>
      </w:r>
    </w:p>
    <w:p>
      <w:pPr>
        <w:pStyle w:val="ListNumber"/>
        <w:spacing w:after="80" w:line="276" w:lineRule="auto"/>
      </w:pPr>
      <w:r>
        <w:t>The app reads models/class_indices.json to map output index to disease class.</w:t>
      </w:r>
    </w:p>
    <w:p>
      <w:pPr>
        <w:pStyle w:val="ListNumber"/>
        <w:spacing w:after="80" w:line="276" w:lineRule="auto"/>
      </w:pPr>
      <w:r>
        <w:t>The top disease and top-3 predictions are displayed with confidence scores.</w:t>
      </w:r>
    </w:p>
    <w:p>
      <w:pPr>
        <w:pStyle w:val="Heading1"/>
        <w:spacing w:before="320" w:after="120"/>
      </w:pPr>
      <w:r>
        <w:rPr>
          <w:color w:val="2E74B5"/>
        </w:rPr>
        <w:t>Prediction Thresholds and Confidence Rules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Top predictions shown</w:t>
            </w:r>
          </w:p>
        </w:tc>
        <w:tc>
          <w:tcPr>
            <w:tcW w:type="dxa" w:w="6660"/>
            <w:vAlign w:val="center"/>
          </w:tcPr>
          <w:p>
            <w:pPr>
              <w:spacing w:after="0"/>
            </w:pPr>
            <w:r>
              <w:rPr>
                <w:sz w:val="20"/>
              </w:rPr>
              <w:t>3. The app displays the three most likely disease classes.</w:t>
            </w:r>
          </w:p>
        </w:tc>
      </w:tr>
      <w:tr>
        <w:tc>
          <w:tcPr>
            <w:tcW w:type="dxa" w:w="2700"/>
            <w:vAlign w:val="center"/>
          </w:tcPr>
          <w:p>
            <w:pPr>
              <w:spacing w:after="0"/>
            </w:pPr>
            <w:r>
              <w:rPr>
                <w:sz w:val="20"/>
              </w:rPr>
              <w:t>Main prediction</w:t>
            </w:r>
          </w:p>
        </w:tc>
        <w:tc>
          <w:tcPr>
            <w:tcW w:type="dxa" w:w="6660"/>
            <w:vAlign w:val="center"/>
          </w:tcPr>
          <w:p>
            <w:pPr>
              <w:spacing w:after="0"/>
            </w:pPr>
            <w:r>
              <w:rPr>
                <w:sz w:val="20"/>
              </w:rPr>
              <w:t>The class with the highest softmax probability.</w:t>
            </w:r>
          </w:p>
        </w:tc>
      </w:tr>
      <w:tr>
        <w:tc>
          <w:tcPr>
            <w:tcW w:type="dxa" w:w="2700"/>
            <w:vAlign w:val="center"/>
          </w:tcPr>
          <w:p>
            <w:pPr>
              <w:spacing w:after="0"/>
            </w:pPr>
            <w:r>
              <w:rPr>
                <w:sz w:val="20"/>
              </w:rPr>
              <w:t>High confidence label</w:t>
            </w:r>
          </w:p>
        </w:tc>
        <w:tc>
          <w:tcPr>
            <w:tcW w:type="dxa" w:w="6660"/>
            <w:vAlign w:val="center"/>
          </w:tcPr>
          <w:p>
            <w:pPr>
              <w:spacing w:after="0"/>
            </w:pPr>
            <w:r>
              <w:rPr>
                <w:sz w:val="20"/>
              </w:rPr>
              <w:t>React labels predictions at 80% and above as High.</w:t>
            </w:r>
          </w:p>
        </w:tc>
      </w:tr>
      <w:tr>
        <w:tc>
          <w:tcPr>
            <w:tcW w:type="dxa" w:w="2700"/>
            <w:vAlign w:val="center"/>
          </w:tcPr>
          <w:p>
            <w:pPr>
              <w:spacing w:after="0"/>
            </w:pPr>
            <w:r>
              <w:rPr>
                <w:sz w:val="20"/>
              </w:rPr>
              <w:t>Moderate confidence label</w:t>
            </w:r>
          </w:p>
        </w:tc>
        <w:tc>
          <w:tcPr>
            <w:tcW w:type="dxa" w:w="6660"/>
            <w:vAlign w:val="center"/>
          </w:tcPr>
          <w:p>
            <w:pPr>
              <w:spacing w:after="0"/>
            </w:pPr>
            <w:r>
              <w:rPr>
                <w:sz w:val="20"/>
              </w:rPr>
              <w:t>React labels predictions from 60% to 79% as Moderate.</w:t>
            </w:r>
          </w:p>
        </w:tc>
      </w:tr>
      <w:tr>
        <w:tc>
          <w:tcPr>
            <w:tcW w:type="dxa" w:w="2700"/>
            <w:vAlign w:val="center"/>
          </w:tcPr>
          <w:p>
            <w:pPr>
              <w:spacing w:after="0"/>
            </w:pPr>
            <w:r>
              <w:rPr>
                <w:sz w:val="20"/>
              </w:rPr>
              <w:t>Low confidence label</w:t>
            </w:r>
          </w:p>
        </w:tc>
        <w:tc>
          <w:tcPr>
            <w:tcW w:type="dxa" w:w="6660"/>
            <w:vAlign w:val="center"/>
          </w:tcPr>
          <w:p>
            <w:pPr>
              <w:spacing w:after="0"/>
            </w:pPr>
            <w:r>
              <w:rPr>
                <w:sz w:val="20"/>
              </w:rPr>
              <w:t>React labels predictions below 60% as Low.</w:t>
            </w:r>
          </w:p>
        </w:tc>
      </w:tr>
      <w:tr>
        <w:tc>
          <w:tcPr>
            <w:tcW w:type="dxa" w:w="2700"/>
            <w:vAlign w:val="center"/>
          </w:tcPr>
          <w:p>
            <w:pPr>
              <w:spacing w:after="0"/>
            </w:pPr>
            <w:r>
              <w:rPr>
                <w:sz w:val="20"/>
              </w:rPr>
              <w:t>Configured confidence_threshold</w:t>
            </w:r>
          </w:p>
        </w:tc>
        <w:tc>
          <w:tcPr>
            <w:tcW w:type="dxa" w:w="6660"/>
            <w:vAlign w:val="center"/>
          </w:tcPr>
          <w:p>
            <w:pPr>
              <w:spacing w:after="0"/>
            </w:pPr>
            <w:r>
              <w:rPr>
                <w:sz w:val="20"/>
              </w:rPr>
              <w:t>0.3, meaning 30%. It exists in config.py but does not currently block predictions.</w:t>
            </w:r>
          </w:p>
        </w:tc>
      </w:tr>
      <w:tr>
        <w:tc>
          <w:tcPr>
            <w:tcW w:type="dxa" w:w="2700"/>
            <w:vAlign w:val="center"/>
          </w:tcPr>
          <w:p>
            <w:pPr>
              <w:spacing w:after="0"/>
            </w:pPr>
            <w:r>
              <w:rPr>
                <w:sz w:val="20"/>
              </w:rPr>
              <w:t>Input image size</w:t>
            </w:r>
          </w:p>
        </w:tc>
        <w:tc>
          <w:tcPr>
            <w:tcW w:type="dxa" w:w="6660"/>
            <w:vAlign w:val="center"/>
          </w:tcPr>
          <w:p>
            <w:pPr>
              <w:spacing w:after="0"/>
            </w:pPr>
            <w:r>
              <w:rPr>
                <w:sz w:val="20"/>
              </w:rPr>
              <w:t>224 x 224 pixels.</w:t>
            </w:r>
          </w:p>
        </w:tc>
      </w:tr>
      <w:tr>
        <w:tc>
          <w:tcPr>
            <w:tcW w:type="dxa" w:w="2700"/>
            <w:vAlign w:val="center"/>
          </w:tcPr>
          <w:p>
            <w:pPr>
              <w:spacing w:after="0"/>
            </w:pPr>
            <w:r>
              <w:rPr>
                <w:sz w:val="20"/>
              </w:rPr>
              <w:t>Upload helper limit</w:t>
            </w:r>
          </w:p>
        </w:tc>
        <w:tc>
          <w:tcPr>
            <w:tcW w:type="dxa" w:w="6660"/>
            <w:vAlign w:val="center"/>
          </w:tcPr>
          <w:p>
            <w:pPr>
              <w:spacing w:after="0"/>
            </w:pPr>
            <w:r>
              <w:rPr>
                <w:sz w:val="20"/>
              </w:rPr>
              <w:t>10 MB in config.py and utils.py, though not every UI path enforces it.</w:t>
            </w:r>
          </w:p>
        </w:tc>
      </w:tr>
    </w:tbl>
    <w:p/>
    <w:p>
      <w:r>
        <w:t>The model always returns the highest-probability class, even if confidence is low. A low-confidence result should be treated as uncertain and should be verified with a clearer leaf image or agricultural expert review.</w:t>
      </w:r>
    </w:p>
    <w:p>
      <w:pPr>
        <w:pStyle w:val="Heading2"/>
        <w:spacing w:before="240" w:after="120"/>
      </w:pPr>
      <w:r>
        <w:rPr>
          <w:color w:val="2E74B5"/>
        </w:rPr>
        <w:t>Recommended Confidence Interpretation</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90% to 100%</w:t>
            </w:r>
          </w:p>
        </w:tc>
        <w:tc>
          <w:tcPr>
            <w:tcW w:type="dxa" w:w="6660"/>
            <w:vAlign w:val="center"/>
          </w:tcPr>
          <w:p>
            <w:pPr>
              <w:spacing w:after="0"/>
            </w:pPr>
            <w:r>
              <w:rPr>
                <w:sz w:val="20"/>
              </w:rPr>
              <w:t>Strong prediction if the image is clear and leaf-focused.</w:t>
            </w:r>
          </w:p>
        </w:tc>
      </w:tr>
      <w:tr>
        <w:tc>
          <w:tcPr>
            <w:tcW w:type="dxa" w:w="2700"/>
            <w:vAlign w:val="center"/>
          </w:tcPr>
          <w:p>
            <w:pPr>
              <w:spacing w:after="0"/>
            </w:pPr>
            <w:r>
              <w:rPr>
                <w:sz w:val="20"/>
              </w:rPr>
              <w:t>80% to 89%</w:t>
            </w:r>
          </w:p>
        </w:tc>
        <w:tc>
          <w:tcPr>
            <w:tcW w:type="dxa" w:w="6660"/>
            <w:vAlign w:val="center"/>
          </w:tcPr>
          <w:p>
            <w:pPr>
              <w:spacing w:after="0"/>
            </w:pPr>
            <w:r>
              <w:rPr>
                <w:sz w:val="20"/>
              </w:rPr>
              <w:t>Good prediction, but still review the top-3 list.</w:t>
            </w:r>
          </w:p>
        </w:tc>
      </w:tr>
      <w:tr>
        <w:tc>
          <w:tcPr>
            <w:tcW w:type="dxa" w:w="2700"/>
            <w:vAlign w:val="center"/>
          </w:tcPr>
          <w:p>
            <w:pPr>
              <w:spacing w:after="0"/>
            </w:pPr>
            <w:r>
              <w:rPr>
                <w:sz w:val="20"/>
              </w:rPr>
              <w:t>60% to 79%</w:t>
            </w:r>
          </w:p>
        </w:tc>
        <w:tc>
          <w:tcPr>
            <w:tcW w:type="dxa" w:w="6660"/>
            <w:vAlign w:val="center"/>
          </w:tcPr>
          <w:p>
            <w:pPr>
              <w:spacing w:after="0"/>
            </w:pPr>
            <w:r>
              <w:rPr>
                <w:sz w:val="20"/>
              </w:rPr>
              <w:t>Moderate confidence; compare visible symptoms manually.</w:t>
            </w:r>
          </w:p>
        </w:tc>
      </w:tr>
      <w:tr>
        <w:tc>
          <w:tcPr>
            <w:tcW w:type="dxa" w:w="2700"/>
            <w:vAlign w:val="center"/>
          </w:tcPr>
          <w:p>
            <w:pPr>
              <w:spacing w:after="0"/>
            </w:pPr>
            <w:r>
              <w:rPr>
                <w:sz w:val="20"/>
              </w:rPr>
              <w:t>Below 60%</w:t>
            </w:r>
          </w:p>
        </w:tc>
        <w:tc>
          <w:tcPr>
            <w:tcW w:type="dxa" w:w="6660"/>
            <w:vAlign w:val="center"/>
          </w:tcPr>
          <w:p>
            <w:pPr>
              <w:spacing w:after="0"/>
            </w:pPr>
            <w:r>
              <w:rPr>
                <w:sz w:val="20"/>
              </w:rPr>
              <w:t>Uncertain result; use a better image or expert confirmation.</w:t>
            </w:r>
          </w:p>
        </w:tc>
      </w:tr>
    </w:tbl>
    <w:p/>
    <w:p>
      <w:pPr>
        <w:pStyle w:val="Heading1"/>
        <w:spacing w:before="320" w:after="120"/>
      </w:pPr>
      <w:r>
        <w:rPr>
          <w:color w:val="2E74B5"/>
        </w:rPr>
        <w:t>Preprocessing Rules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input_scale: 0_1</w:t>
            </w:r>
          </w:p>
        </w:tc>
        <w:tc>
          <w:tcPr>
            <w:tcW w:type="dxa" w:w="6660"/>
            <w:vAlign w:val="center"/>
          </w:tcPr>
          <w:p>
            <w:pPr>
              <w:spacing w:after="0"/>
            </w:pPr>
            <w:r>
              <w:rPr>
                <w:sz w:val="20"/>
              </w:rPr>
              <w:t>Divide pixel values by 255. Used for the legacy custom CNN.</w:t>
            </w:r>
          </w:p>
        </w:tc>
      </w:tr>
      <w:tr>
        <w:tc>
          <w:tcPr>
            <w:tcW w:type="dxa" w:w="2700"/>
            <w:vAlign w:val="center"/>
          </w:tcPr>
          <w:p>
            <w:pPr>
              <w:spacing w:after="0"/>
            </w:pPr>
            <w:r>
              <w:rPr>
                <w:sz w:val="20"/>
              </w:rPr>
              <w:t>input_scale: raw_0_255</w:t>
            </w:r>
          </w:p>
        </w:tc>
        <w:tc>
          <w:tcPr>
            <w:tcW w:type="dxa" w:w="6660"/>
            <w:vAlign w:val="center"/>
          </w:tcPr>
          <w:p>
            <w:pPr>
              <w:spacing w:after="0"/>
            </w:pPr>
            <w:r>
              <w:rPr>
                <w:sz w:val="20"/>
              </w:rPr>
              <w:t>Keep pixels from 0 to 255. Used after EfficientNetV2 retraining because the model contains its own preprocessing.</w:t>
            </w:r>
          </w:p>
        </w:tc>
      </w:tr>
      <w:tr>
        <w:tc>
          <w:tcPr>
            <w:tcW w:type="dxa" w:w="2700"/>
            <w:vAlign w:val="center"/>
          </w:tcPr>
          <w:p>
            <w:pPr>
              <w:spacing w:after="0"/>
            </w:pPr>
            <w:r>
              <w:rPr>
                <w:sz w:val="20"/>
              </w:rPr>
              <w:t>input_scale: minus_1_1</w:t>
            </w:r>
          </w:p>
        </w:tc>
        <w:tc>
          <w:tcPr>
            <w:tcW w:type="dxa" w:w="6660"/>
            <w:vAlign w:val="center"/>
          </w:tcPr>
          <w:p>
            <w:pPr>
              <w:spacing w:after="0"/>
            </w:pPr>
            <w:r>
              <w:rPr>
                <w:sz w:val="20"/>
              </w:rPr>
              <w:t>Scale pixels to -1 to 1. Supported for MobileNet-style models if needed later.</w:t>
            </w:r>
          </w:p>
        </w:tc>
      </w:tr>
    </w:tbl>
    <w:p/>
    <w:p>
      <w:r>
        <w:t>Preprocessing metadata is stored in models/model_metadata.json. This matters because a model trained with one preprocessing rule can perform poorly if prediction uses a different rule.</w:t>
      </w:r>
    </w:p>
    <w:p>
      <w:pPr>
        <w:pStyle w:val="Heading1"/>
        <w:spacing w:before="320" w:after="120"/>
      </w:pPr>
      <w:r>
        <w:rPr>
          <w:color w:val="2E74B5"/>
        </w:rPr>
        <w:t>How To Run</w:t>
      </w:r>
    </w:p>
    <w:p>
      <w:pPr>
        <w:pStyle w:val="Heading2"/>
        <w:spacing w:before="240" w:after="120"/>
      </w:pPr>
      <w:r>
        <w:rPr>
          <w:color w:val="2E74B5"/>
        </w:rPr>
        <w:t>Open Project</w:t>
      </w:r>
    </w:p>
    <w:p>
      <w:pPr>
        <w:spacing w:before="40" w:after="120"/>
      </w:pPr>
      <w:r>
        <w:rPr>
          <w:rFonts w:ascii="Consolas" w:hAnsi="Consolas"/>
          <w:color w:val="1F4D78"/>
          <w:sz w:val="18"/>
        </w:rPr>
        <w:t>cd /d "C:\Users\Tejaspaigude987\Desktop\Final Year Project\Project\plant-disease-detection-main (1)\plant-disease-detection-main"</w:t>
      </w:r>
    </w:p>
    <w:p>
      <w:pPr>
        <w:spacing w:before="40" w:after="120"/>
      </w:pPr>
      <w:r>
        <w:rPr>
          <w:rFonts w:ascii="Consolas" w:hAnsi="Consolas"/>
          <w:color w:val="1F4D78"/>
          <w:sz w:val="18"/>
        </w:rPr>
        <w:t>venv\Scripts\activate</w:t>
      </w:r>
    </w:p>
    <w:p>
      <w:pPr>
        <w:spacing w:before="40" w:after="120"/>
      </w:pPr>
      <w:r>
        <w:rPr>
          <w:rFonts w:ascii="Consolas" w:hAnsi="Consolas"/>
          <w:color w:val="1F4D78"/>
          <w:sz w:val="18"/>
        </w:rPr>
        <w:t>python -m pip install -r requirements.txt</w:t>
      </w:r>
    </w:p>
    <w:p>
      <w:pPr>
        <w:pStyle w:val="Heading2"/>
        <w:spacing w:before="240" w:after="120"/>
      </w:pPr>
      <w:r>
        <w:rPr>
          <w:color w:val="2E74B5"/>
        </w:rPr>
        <w:t>Train Model</w:t>
      </w:r>
    </w:p>
    <w:p>
      <w:pPr>
        <w:spacing w:before="40" w:after="120"/>
      </w:pPr>
      <w:r>
        <w:rPr>
          <w:rFonts w:ascii="Consolas" w:hAnsi="Consolas"/>
          <w:color w:val="1F4D78"/>
          <w:sz w:val="18"/>
        </w:rPr>
        <w:t>train_high_accuracy.bat</w:t>
      </w:r>
    </w:p>
    <w:p>
      <w:pPr>
        <w:spacing w:before="40" w:after="120"/>
      </w:pPr>
      <w:r>
        <w:rPr>
          <w:rFonts w:ascii="Consolas" w:hAnsi="Consolas"/>
          <w:color w:val="1F4D78"/>
          <w:sz w:val="18"/>
        </w:rPr>
        <w:t>python model_training.py --epochs 80 --initial-epochs 20 --batch-size 32</w:t>
      </w:r>
    </w:p>
    <w:p>
      <w:pPr>
        <w:pStyle w:val="Heading2"/>
        <w:spacing w:before="240" w:after="120"/>
      </w:pPr>
      <w:r>
        <w:rPr>
          <w:color w:val="2E74B5"/>
        </w:rPr>
        <w:t>Evaluate Model</w:t>
      </w:r>
    </w:p>
    <w:p>
      <w:pPr>
        <w:spacing w:before="40" w:after="120"/>
      </w:pPr>
      <w:r>
        <w:rPr>
          <w:rFonts w:ascii="Consolas" w:hAnsi="Consolas"/>
          <w:color w:val="1F4D78"/>
          <w:sz w:val="18"/>
        </w:rPr>
        <w:t>python evaluate_model.py</w:t>
      </w:r>
    </w:p>
    <w:p>
      <w:pPr>
        <w:pStyle w:val="Heading2"/>
        <w:spacing w:before="240" w:after="120"/>
      </w:pPr>
      <w:r>
        <w:rPr>
          <w:color w:val="2E74B5"/>
        </w:rPr>
        <w:t>Run Streamlit UI</w:t>
      </w:r>
    </w:p>
    <w:p>
      <w:pPr>
        <w:spacing w:before="40" w:after="120"/>
      </w:pPr>
      <w:r>
        <w:rPr>
          <w:rFonts w:ascii="Consolas" w:hAnsi="Consolas"/>
          <w:color w:val="1F4D78"/>
          <w:sz w:val="18"/>
        </w:rPr>
        <w:t>streamlit run app.py</w:t>
      </w:r>
    </w:p>
    <w:p>
      <w:r>
        <w:t>Open http://localhost:8501</w:t>
      </w:r>
    </w:p>
    <w:p>
      <w:pPr>
        <w:pStyle w:val="Heading2"/>
        <w:spacing w:before="240" w:after="120"/>
      </w:pPr>
      <w:r>
        <w:rPr>
          <w:color w:val="2E74B5"/>
        </w:rPr>
        <w:t>Run FastAPI Backend and React UI</w:t>
      </w:r>
    </w:p>
    <w:p>
      <w:pPr>
        <w:spacing w:before="40" w:after="120"/>
      </w:pPr>
      <w:r>
        <w:rPr>
          <w:rFonts w:ascii="Consolas" w:hAnsi="Consolas"/>
          <w:color w:val="1F4D78"/>
          <w:sz w:val="18"/>
        </w:rPr>
        <w:t>uvicorn api:app --host 0.0.0.0 --port 8000 --reload</w:t>
      </w:r>
    </w:p>
    <w:p>
      <w:pPr>
        <w:spacing w:before="40" w:after="120"/>
      </w:pPr>
      <w:r>
        <w:rPr>
          <w:rFonts w:ascii="Consolas" w:hAnsi="Consolas"/>
          <w:color w:val="1F4D78"/>
          <w:sz w:val="18"/>
        </w:rPr>
        <w:t>cd /d "C:\Users\Tejaspaigude987\Desktop\Final Year Project\Project\plant-disease-detection-main (1)\plant-disease-detection-main\frontend"</w:t>
      </w:r>
    </w:p>
    <w:p>
      <w:pPr>
        <w:spacing w:before="40" w:after="120"/>
      </w:pPr>
      <w:r>
        <w:rPr>
          <w:rFonts w:ascii="Consolas" w:hAnsi="Consolas"/>
          <w:color w:val="1F4D78"/>
          <w:sz w:val="18"/>
        </w:rPr>
        <w:t>npm install</w:t>
      </w:r>
    </w:p>
    <w:p>
      <w:pPr>
        <w:spacing w:before="40" w:after="120"/>
      </w:pPr>
      <w:r>
        <w:rPr>
          <w:rFonts w:ascii="Consolas" w:hAnsi="Consolas"/>
          <w:color w:val="1F4D78"/>
          <w:sz w:val="18"/>
        </w:rPr>
        <w:t>npm start</w:t>
      </w:r>
    </w:p>
    <w:p>
      <w:r>
        <w:t>Open http://localhost:3000</w:t>
      </w:r>
    </w:p>
    <w:p>
      <w:pPr>
        <w:pStyle w:val="Heading1"/>
        <w:spacing w:before="320" w:after="120"/>
      </w:pPr>
      <w:r>
        <w:rPr>
          <w:color w:val="2E74B5"/>
        </w:rPr>
        <w:t>Expected Results and Reporting</w:t>
      </w:r>
    </w:p>
    <w:p>
      <w:r>
        <w:t>A realistic target for a clean PlantVillage-style validation split is about 95% to 98%, sometimes close to 99%. A guaranteed 100% is not a reliable goal because it can indicate overfitting or data leakage. The final reported accuracy should come from evaluate_model.py after retraining.</w:t>
      </w:r>
    </w:p>
    <w:p>
      <w:pPr>
        <w:pStyle w:val="Heading1"/>
        <w:spacing w:before="320" w:after="120"/>
      </w:pPr>
      <w:r>
        <w:rPr>
          <w:color w:val="2E74B5"/>
        </w:rPr>
        <w:t>Evaluation Metrics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Accuracy</w:t>
            </w:r>
          </w:p>
        </w:tc>
        <w:tc>
          <w:tcPr>
            <w:tcW w:type="dxa" w:w="6660"/>
            <w:vAlign w:val="center"/>
          </w:tcPr>
          <w:p>
            <w:pPr>
              <w:spacing w:after="0"/>
            </w:pPr>
            <w:r>
              <w:rPr>
                <w:sz w:val="20"/>
              </w:rPr>
              <w:t>Top-1 correct prediction rate on validation images.</w:t>
            </w:r>
          </w:p>
        </w:tc>
      </w:tr>
      <w:tr>
        <w:tc>
          <w:tcPr>
            <w:tcW w:type="dxa" w:w="2700"/>
            <w:vAlign w:val="center"/>
          </w:tcPr>
          <w:p>
            <w:pPr>
              <w:spacing w:after="0"/>
            </w:pPr>
            <w:r>
              <w:rPr>
                <w:sz w:val="20"/>
              </w:rPr>
              <w:t>Top-3 accuracy</w:t>
            </w:r>
          </w:p>
        </w:tc>
        <w:tc>
          <w:tcPr>
            <w:tcW w:type="dxa" w:w="6660"/>
            <w:vAlign w:val="center"/>
          </w:tcPr>
          <w:p>
            <w:pPr>
              <w:spacing w:after="0"/>
            </w:pPr>
            <w:r>
              <w:rPr>
                <w:sz w:val="20"/>
              </w:rPr>
              <w:t>Correct class appears anywhere in the top 3 predictions.</w:t>
            </w:r>
          </w:p>
        </w:tc>
      </w:tr>
      <w:tr>
        <w:tc>
          <w:tcPr>
            <w:tcW w:type="dxa" w:w="2700"/>
            <w:vAlign w:val="center"/>
          </w:tcPr>
          <w:p>
            <w:pPr>
              <w:spacing w:after="0"/>
            </w:pPr>
            <w:r>
              <w:rPr>
                <w:sz w:val="20"/>
              </w:rPr>
              <w:t>Loss</w:t>
            </w:r>
          </w:p>
        </w:tc>
        <w:tc>
          <w:tcPr>
            <w:tcW w:type="dxa" w:w="6660"/>
            <w:vAlign w:val="center"/>
          </w:tcPr>
          <w:p>
            <w:pPr>
              <w:spacing w:after="0"/>
            </w:pPr>
            <w:r>
              <w:rPr>
                <w:sz w:val="20"/>
              </w:rPr>
              <w:t>Error value used during training; lower is usually better.</w:t>
            </w:r>
          </w:p>
        </w:tc>
      </w:tr>
      <w:tr>
        <w:tc>
          <w:tcPr>
            <w:tcW w:type="dxa" w:w="2700"/>
            <w:vAlign w:val="center"/>
          </w:tcPr>
          <w:p>
            <w:pPr>
              <w:spacing w:after="0"/>
            </w:pPr>
            <w:r>
              <w:rPr>
                <w:sz w:val="20"/>
              </w:rPr>
              <w:t>Validation accuracy</w:t>
            </w:r>
          </w:p>
        </w:tc>
        <w:tc>
          <w:tcPr>
            <w:tcW w:type="dxa" w:w="6660"/>
            <w:vAlign w:val="center"/>
          </w:tcPr>
          <w:p>
            <w:pPr>
              <w:spacing w:after="0"/>
            </w:pPr>
            <w:r>
              <w:rPr>
                <w:sz w:val="20"/>
              </w:rPr>
              <w:t>Accuracy on unseen validation images. This is the main metric for reporting.</w:t>
            </w:r>
          </w:p>
        </w:tc>
      </w:tr>
      <w:tr>
        <w:tc>
          <w:tcPr>
            <w:tcW w:type="dxa" w:w="2700"/>
            <w:vAlign w:val="center"/>
          </w:tcPr>
          <w:p>
            <w:pPr>
              <w:spacing w:after="0"/>
            </w:pPr>
            <w:r>
              <w:rPr>
                <w:sz w:val="20"/>
              </w:rPr>
              <w:t>Training accuracy</w:t>
            </w:r>
          </w:p>
        </w:tc>
        <w:tc>
          <w:tcPr>
            <w:tcW w:type="dxa" w:w="6660"/>
            <w:vAlign w:val="center"/>
          </w:tcPr>
          <w:p>
            <w:pPr>
              <w:spacing w:after="0"/>
            </w:pPr>
            <w:r>
              <w:rPr>
                <w:sz w:val="20"/>
              </w:rPr>
              <w:t>Accuracy on training images. Useful, but not enough for final reporting because it can hide overfitting.</w:t>
            </w:r>
          </w:p>
        </w:tc>
      </w:tr>
    </w:tbl>
    <w:p/>
    <w:p>
      <w:pPr>
        <w:pStyle w:val="Heading1"/>
        <w:spacing w:before="320" w:after="120"/>
      </w:pPr>
      <w:r>
        <w:rPr>
          <w:color w:val="2E74B5"/>
        </w:rPr>
        <w:t>Files Updated</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680"/>
            <w:shd w:fill="F2F4F7"/>
            <w:vAlign w:val="center"/>
          </w:tcPr>
          <w:p>
            <w:r>
              <w:rPr>
                <w:b/>
              </w:rPr>
              <w:t>Item</w:t>
            </w:r>
          </w:p>
        </w:tc>
        <w:tc>
          <w:tcPr>
            <w:tcW w:type="dxa" w:w="4680"/>
            <w:shd w:fill="F2F4F7"/>
            <w:vAlign w:val="center"/>
          </w:tcPr>
          <w:p>
            <w:r>
              <w:rPr>
                <w:b/>
              </w:rPr>
              <w:t>Details</w:t>
            </w:r>
          </w:p>
        </w:tc>
      </w:tr>
      <w:tr>
        <w:tc>
          <w:tcPr>
            <w:tcW w:type="dxa" w:w="2700"/>
            <w:vAlign w:val="center"/>
          </w:tcPr>
          <w:p>
            <w:pPr>
              <w:spacing w:after="0"/>
            </w:pPr>
            <w:r>
              <w:rPr>
                <w:sz w:val="20"/>
              </w:rPr>
              <w:t>model_training.py</w:t>
            </w:r>
          </w:p>
        </w:tc>
        <w:tc>
          <w:tcPr>
            <w:tcW w:type="dxa" w:w="6660"/>
            <w:vAlign w:val="center"/>
          </w:tcPr>
          <w:p>
            <w:pPr>
              <w:spacing w:after="0"/>
            </w:pPr>
            <w:r>
              <w:rPr>
                <w:sz w:val="20"/>
              </w:rPr>
              <w:t>EfficientNetV2B0 transfer-learning training pipeline.</w:t>
            </w:r>
          </w:p>
        </w:tc>
      </w:tr>
      <w:tr>
        <w:tc>
          <w:tcPr>
            <w:tcW w:type="dxa" w:w="2700"/>
            <w:vAlign w:val="center"/>
          </w:tcPr>
          <w:p>
            <w:pPr>
              <w:spacing w:after="0"/>
            </w:pPr>
            <w:r>
              <w:rPr>
                <w:sz w:val="20"/>
              </w:rPr>
              <w:t>utils.py</w:t>
            </w:r>
          </w:p>
        </w:tc>
        <w:tc>
          <w:tcPr>
            <w:tcW w:type="dxa" w:w="6660"/>
            <w:vAlign w:val="center"/>
          </w:tcPr>
          <w:p>
            <w:pPr>
              <w:spacing w:after="0"/>
            </w:pPr>
            <w:r>
              <w:rPr>
                <w:sz w:val="20"/>
              </w:rPr>
              <w:t>Aligned preprocessing, model metadata, and class mapping.</w:t>
            </w:r>
          </w:p>
        </w:tc>
      </w:tr>
      <w:tr>
        <w:tc>
          <w:tcPr>
            <w:tcW w:type="dxa" w:w="2700"/>
            <w:vAlign w:val="center"/>
          </w:tcPr>
          <w:p>
            <w:pPr>
              <w:spacing w:after="0"/>
            </w:pPr>
            <w:r>
              <w:rPr>
                <w:sz w:val="20"/>
              </w:rPr>
              <w:t>app.py</w:t>
            </w:r>
          </w:p>
        </w:tc>
        <w:tc>
          <w:tcPr>
            <w:tcW w:type="dxa" w:w="6660"/>
            <w:vAlign w:val="center"/>
          </w:tcPr>
          <w:p>
            <w:pPr>
              <w:spacing w:after="0"/>
            </w:pPr>
            <w:r>
              <w:rPr>
                <w:sz w:val="20"/>
              </w:rPr>
              <w:t>Streamlit prediction flow uses metadata and class mapping.</w:t>
            </w:r>
          </w:p>
        </w:tc>
      </w:tr>
      <w:tr>
        <w:tc>
          <w:tcPr>
            <w:tcW w:type="dxa" w:w="2700"/>
            <w:vAlign w:val="center"/>
          </w:tcPr>
          <w:p>
            <w:pPr>
              <w:spacing w:after="0"/>
            </w:pPr>
            <w:r>
              <w:rPr>
                <w:sz w:val="20"/>
              </w:rPr>
              <w:t>api.py</w:t>
            </w:r>
          </w:p>
        </w:tc>
        <w:tc>
          <w:tcPr>
            <w:tcW w:type="dxa" w:w="6660"/>
            <w:vAlign w:val="center"/>
          </w:tcPr>
          <w:p>
            <w:pPr>
              <w:spacing w:after="0"/>
            </w:pPr>
            <w:r>
              <w:rPr>
                <w:sz w:val="20"/>
              </w:rPr>
              <w:t>FastAPI prediction flow uses metadata and class mapping.</w:t>
            </w:r>
          </w:p>
        </w:tc>
      </w:tr>
      <w:tr>
        <w:tc>
          <w:tcPr>
            <w:tcW w:type="dxa" w:w="2700"/>
            <w:vAlign w:val="center"/>
          </w:tcPr>
          <w:p>
            <w:pPr>
              <w:spacing w:after="0"/>
            </w:pPr>
            <w:r>
              <w:rPr>
                <w:sz w:val="20"/>
              </w:rPr>
              <w:t>evaluate_model.py</w:t>
            </w:r>
          </w:p>
        </w:tc>
        <w:tc>
          <w:tcPr>
            <w:tcW w:type="dxa" w:w="6660"/>
            <w:vAlign w:val="center"/>
          </w:tcPr>
          <w:p>
            <w:pPr>
              <w:spacing w:after="0"/>
            </w:pPr>
            <w:r>
              <w:rPr>
                <w:sz w:val="20"/>
              </w:rPr>
              <w:t>Measures real validation accuracy.</w:t>
            </w:r>
          </w:p>
        </w:tc>
      </w:tr>
      <w:tr>
        <w:tc>
          <w:tcPr>
            <w:tcW w:type="dxa" w:w="2700"/>
            <w:vAlign w:val="center"/>
          </w:tcPr>
          <w:p>
            <w:pPr>
              <w:spacing w:after="0"/>
            </w:pPr>
            <w:r>
              <w:rPr>
                <w:sz w:val="20"/>
              </w:rPr>
              <w:t>train_high_accuracy.bat</w:t>
            </w:r>
          </w:p>
        </w:tc>
        <w:tc>
          <w:tcPr>
            <w:tcW w:type="dxa" w:w="6660"/>
            <w:vAlign w:val="center"/>
          </w:tcPr>
          <w:p>
            <w:pPr>
              <w:spacing w:after="0"/>
            </w:pPr>
            <w:r>
              <w:rPr>
                <w:sz w:val="20"/>
              </w:rPr>
              <w:t>One-command Windows training launcher.</w:t>
            </w:r>
          </w:p>
        </w:tc>
      </w:tr>
      <w:tr>
        <w:tc>
          <w:tcPr>
            <w:tcW w:type="dxa" w:w="2700"/>
            <w:vAlign w:val="center"/>
          </w:tcPr>
          <w:p>
            <w:pPr>
              <w:spacing w:after="0"/>
            </w:pPr>
            <w:r>
              <w:rPr>
                <w:sz w:val="20"/>
              </w:rPr>
              <w:t>RUN_AND_THEORY_GUIDE.md</w:t>
            </w:r>
          </w:p>
        </w:tc>
        <w:tc>
          <w:tcPr>
            <w:tcW w:type="dxa" w:w="6660"/>
            <w:vAlign w:val="center"/>
          </w:tcPr>
          <w:p>
            <w:pPr>
              <w:spacing w:after="0"/>
            </w:pPr>
            <w:r>
              <w:rPr>
                <w:sz w:val="20"/>
              </w:rPr>
              <w:t>Step-by-step run guide and updated methodology.</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Plant Disease Detection - Updated Theory and Run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