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D4FD" w14:textId="77777777" w:rsidR="0075641C" w:rsidRDefault="0075641C" w:rsidP="0075641C">
      <w:pPr>
        <w:keepNext/>
      </w:pPr>
      <w:r>
        <w:rPr>
          <w:noProof/>
        </w:rPr>
        <w:drawing>
          <wp:inline distT="0" distB="0" distL="0" distR="0" wp14:anchorId="5F48142C" wp14:editId="595BE6FB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4B7CB" w14:textId="600A076E" w:rsidR="0075641C" w:rsidRDefault="0075641C" w:rsidP="0075641C">
      <w:pPr>
        <w:pStyle w:val="Caption"/>
      </w:pPr>
      <w:r>
        <w:t xml:space="preserve">Figure </w:t>
      </w:r>
      <w:fldSimple w:instr=" SEQ Figure \* ARABIC ">
        <w:r w:rsidR="00F03514">
          <w:rPr>
            <w:noProof/>
          </w:rPr>
          <w:t>1</w:t>
        </w:r>
      </w:fldSimple>
      <w:r>
        <w:t xml:space="preserve"> Count of health care count in the UK</w:t>
      </w:r>
    </w:p>
    <w:p w14:paraId="369BF9AB" w14:textId="3619949A" w:rsidR="0075641C" w:rsidRDefault="0075641C" w:rsidP="00F03514">
      <w:pPr>
        <w:pStyle w:val="Caption"/>
      </w:pPr>
      <w:r>
        <w:rPr>
          <w:noProof/>
        </w:rPr>
        <w:drawing>
          <wp:inline distT="0" distB="0" distL="0" distR="0" wp14:anchorId="186D0E6D" wp14:editId="39557A8E">
            <wp:extent cx="5731510" cy="303903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4"/>
                    <a:stretch/>
                  </pic:blipFill>
                  <pic:spPr bwMode="auto">
                    <a:xfrm>
                      <a:off x="0" y="0"/>
                      <a:ext cx="5731510" cy="303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3514">
        <w:t xml:space="preserve">Figure </w:t>
      </w:r>
      <w:fldSimple w:instr=" SEQ Figure \* ARABIC ">
        <w:r w:rsidR="00F03514">
          <w:rPr>
            <w:noProof/>
          </w:rPr>
          <w:t>2</w:t>
        </w:r>
      </w:fldSimple>
      <w:r w:rsidR="00F03514">
        <w:t xml:space="preserve"> Line graph</w:t>
      </w:r>
      <w:r>
        <w:rPr>
          <w:noProof/>
        </w:rPr>
        <w:lastRenderedPageBreak/>
        <w:drawing>
          <wp:inline distT="0" distB="0" distL="0" distR="0" wp14:anchorId="66D4DDD7" wp14:editId="743E7E0B">
            <wp:extent cx="5731510" cy="302110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0"/>
                    <a:stretch/>
                  </pic:blipFill>
                  <pic:spPr bwMode="auto">
                    <a:xfrm>
                      <a:off x="0" y="0"/>
                      <a:ext cx="5731510" cy="302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F03514">
          <w:rPr>
            <w:noProof/>
          </w:rPr>
          <w:t>3</w:t>
        </w:r>
      </w:fldSimple>
      <w:r>
        <w:t xml:space="preserve"> </w:t>
      </w:r>
      <w:r w:rsidR="00F03514">
        <w:t xml:space="preserve">Patient counts throughout in the UK </w:t>
      </w:r>
    </w:p>
    <w:p w14:paraId="0E669B62" w14:textId="1163C45D" w:rsidR="008122CB" w:rsidRDefault="008122CB" w:rsidP="008122C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82"/>
        <w:gridCol w:w="1138"/>
        <w:gridCol w:w="1100"/>
        <w:gridCol w:w="1101"/>
        <w:gridCol w:w="1049"/>
      </w:tblGrid>
      <w:tr w:rsidR="008122CB" w:rsidRPr="006B54C6" w14:paraId="7B1063C3" w14:textId="77777777" w:rsidTr="00D135FF">
        <w:trPr>
          <w:trHeight w:val="841"/>
        </w:trPr>
        <w:tc>
          <w:tcPr>
            <w:tcW w:w="846" w:type="dxa"/>
          </w:tcPr>
          <w:p w14:paraId="739D0FE5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Sr number</w:t>
            </w:r>
          </w:p>
        </w:tc>
        <w:tc>
          <w:tcPr>
            <w:tcW w:w="1282" w:type="dxa"/>
          </w:tcPr>
          <w:p w14:paraId="6B77C777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J48 cross validation 10 folds</w:t>
            </w:r>
          </w:p>
        </w:tc>
        <w:tc>
          <w:tcPr>
            <w:tcW w:w="1138" w:type="dxa"/>
          </w:tcPr>
          <w:p w14:paraId="6D2C030F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proofErr w:type="spellStart"/>
            <w:r w:rsidRPr="006B54C6">
              <w:rPr>
                <w:sz w:val="18"/>
                <w:szCs w:val="18"/>
              </w:rPr>
              <w:t>Na</w:t>
            </w:r>
            <w:r>
              <w:rPr>
                <w:sz w:val="18"/>
                <w:szCs w:val="18"/>
              </w:rPr>
              <w:t>I</w:t>
            </w:r>
            <w:r w:rsidRPr="006B54C6">
              <w:rPr>
                <w:sz w:val="18"/>
                <w:szCs w:val="18"/>
              </w:rPr>
              <w:t>veBayes</w:t>
            </w:r>
            <w:proofErr w:type="spellEnd"/>
            <w:r w:rsidRPr="006B54C6">
              <w:rPr>
                <w:sz w:val="18"/>
                <w:szCs w:val="18"/>
              </w:rPr>
              <w:t>, cross validation 10 folds</w:t>
            </w:r>
          </w:p>
        </w:tc>
        <w:tc>
          <w:tcPr>
            <w:tcW w:w="1100" w:type="dxa"/>
          </w:tcPr>
          <w:p w14:paraId="4C7E46C4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ZeroR cross validation, cross validation 10 folds</w:t>
            </w:r>
          </w:p>
        </w:tc>
        <w:tc>
          <w:tcPr>
            <w:tcW w:w="1101" w:type="dxa"/>
          </w:tcPr>
          <w:p w14:paraId="236DB1D5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IBK cross validation, 10 folds</w:t>
            </w:r>
          </w:p>
        </w:tc>
        <w:tc>
          <w:tcPr>
            <w:tcW w:w="1049" w:type="dxa"/>
          </w:tcPr>
          <w:p w14:paraId="424C100C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PART cross validation 10 folds</w:t>
            </w:r>
          </w:p>
        </w:tc>
      </w:tr>
      <w:tr w:rsidR="008122CB" w:rsidRPr="006B54C6" w14:paraId="2A337D02" w14:textId="77777777" w:rsidTr="00D135FF">
        <w:trPr>
          <w:trHeight w:val="203"/>
        </w:trPr>
        <w:tc>
          <w:tcPr>
            <w:tcW w:w="846" w:type="dxa"/>
          </w:tcPr>
          <w:p w14:paraId="3ED03404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1282" w:type="dxa"/>
          </w:tcPr>
          <w:p w14:paraId="546840D0" w14:textId="25E88E3C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82.9721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3E8B50B7" w14:textId="40C5C09A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84.2109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01A45E91" w14:textId="65136D71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1" w:type="dxa"/>
          </w:tcPr>
          <w:p w14:paraId="19CC8B3D" w14:textId="7801C661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82.3529%</w:t>
            </w:r>
          </w:p>
        </w:tc>
        <w:tc>
          <w:tcPr>
            <w:tcW w:w="1049" w:type="dxa"/>
          </w:tcPr>
          <w:p w14:paraId="57065D3B" w14:textId="1DDD96B6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82.9721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305FE09A" w14:textId="77777777" w:rsidTr="00D135FF">
        <w:trPr>
          <w:trHeight w:val="198"/>
        </w:trPr>
        <w:tc>
          <w:tcPr>
            <w:tcW w:w="846" w:type="dxa"/>
          </w:tcPr>
          <w:p w14:paraId="144F8C59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1282" w:type="dxa"/>
          </w:tcPr>
          <w:p w14:paraId="4AC7E4E9" w14:textId="17221BED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85.4498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71A5896C" w14:textId="00775909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84.2109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7695D8B6" w14:textId="238F2ACA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6DA7AE48" w14:textId="17115409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80.1858%</w:t>
            </w:r>
          </w:p>
        </w:tc>
        <w:tc>
          <w:tcPr>
            <w:tcW w:w="1049" w:type="dxa"/>
          </w:tcPr>
          <w:p w14:paraId="54D5FD36" w14:textId="77AF6F46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83.9009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68BC97C5" w14:textId="77777777" w:rsidTr="00D135FF">
        <w:trPr>
          <w:trHeight w:val="198"/>
        </w:trPr>
        <w:tc>
          <w:tcPr>
            <w:tcW w:w="846" w:type="dxa"/>
          </w:tcPr>
          <w:p w14:paraId="69384192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1282" w:type="dxa"/>
          </w:tcPr>
          <w:p w14:paraId="2E385EC6" w14:textId="2438FB8B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85.1393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43989883" w14:textId="6F13FCFF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84.5201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501FB779" w14:textId="37223172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6BCE8DA6" w14:textId="433606AD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82.3529%</w:t>
            </w:r>
          </w:p>
        </w:tc>
        <w:tc>
          <w:tcPr>
            <w:tcW w:w="1049" w:type="dxa"/>
          </w:tcPr>
          <w:p w14:paraId="6E1CFA56" w14:textId="000C7821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84.8297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073E805E" w14:textId="77777777" w:rsidTr="00D135FF">
        <w:trPr>
          <w:trHeight w:val="203"/>
        </w:trPr>
        <w:tc>
          <w:tcPr>
            <w:tcW w:w="846" w:type="dxa"/>
          </w:tcPr>
          <w:p w14:paraId="26175B60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1282" w:type="dxa"/>
          </w:tcPr>
          <w:p w14:paraId="6919408C" w14:textId="2E11E800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84.8297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08CE306D" w14:textId="00C51666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85.1393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692478D9" w14:textId="567DC363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373CFFF7" w14:textId="00226980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81.1146%</w:t>
            </w:r>
          </w:p>
        </w:tc>
        <w:tc>
          <w:tcPr>
            <w:tcW w:w="1049" w:type="dxa"/>
          </w:tcPr>
          <w:p w14:paraId="3A34661F" w14:textId="114993B7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84.2105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1E33F1B0" w14:textId="77777777" w:rsidTr="00D135FF">
        <w:trPr>
          <w:trHeight w:val="198"/>
        </w:trPr>
        <w:tc>
          <w:tcPr>
            <w:tcW w:w="846" w:type="dxa"/>
          </w:tcPr>
          <w:p w14:paraId="03CF461B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</w:t>
            </w:r>
          </w:p>
        </w:tc>
        <w:tc>
          <w:tcPr>
            <w:tcW w:w="1282" w:type="dxa"/>
          </w:tcPr>
          <w:p w14:paraId="41C136E0" w14:textId="13760D15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85.4489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2C630AA4" w14:textId="2362E3CA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83.9009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6E9BF231" w14:textId="14D28D34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6FA73FFA" w14:textId="437315CF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80.4954%</w:t>
            </w:r>
          </w:p>
        </w:tc>
        <w:tc>
          <w:tcPr>
            <w:tcW w:w="1049" w:type="dxa"/>
          </w:tcPr>
          <w:p w14:paraId="7E4E5586" w14:textId="38CAC170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82.6625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0FBB0369" w14:textId="77777777" w:rsidTr="00D135FF">
        <w:trPr>
          <w:trHeight w:val="198"/>
        </w:trPr>
        <w:tc>
          <w:tcPr>
            <w:tcW w:w="846" w:type="dxa"/>
          </w:tcPr>
          <w:p w14:paraId="49CBB817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</w:t>
            </w:r>
          </w:p>
        </w:tc>
        <w:tc>
          <w:tcPr>
            <w:tcW w:w="1282" w:type="dxa"/>
          </w:tcPr>
          <w:p w14:paraId="27622B51" w14:textId="553AEEAC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85.4489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7C24778C" w14:textId="04E60316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84.5201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1E0B2DBF" w14:textId="257C69A9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2DE6C3D7" w14:textId="0D353C15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80.4954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049" w:type="dxa"/>
          </w:tcPr>
          <w:p w14:paraId="08F3E594" w14:textId="3CDA9960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85.1393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5DCA0FCA" w14:textId="77777777" w:rsidTr="00D135FF">
        <w:trPr>
          <w:trHeight w:val="203"/>
        </w:trPr>
        <w:tc>
          <w:tcPr>
            <w:tcW w:w="846" w:type="dxa"/>
          </w:tcPr>
          <w:p w14:paraId="147E7FCE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7)</w:t>
            </w:r>
          </w:p>
        </w:tc>
        <w:tc>
          <w:tcPr>
            <w:tcW w:w="1282" w:type="dxa"/>
          </w:tcPr>
          <w:p w14:paraId="53F9BF34" w14:textId="6AA839F5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85.4489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2F28FEAA" w14:textId="162CFF78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83.5913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52BE9241" w14:textId="45AB8F00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73FDA0ED" w14:textId="369E59FE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82.0422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049" w:type="dxa"/>
          </w:tcPr>
          <w:p w14:paraId="641391B7" w14:textId="6FC3C12D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84.8217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13DC1FEA" w14:textId="77777777" w:rsidTr="00D135FF">
        <w:trPr>
          <w:trHeight w:val="198"/>
        </w:trPr>
        <w:tc>
          <w:tcPr>
            <w:tcW w:w="846" w:type="dxa"/>
          </w:tcPr>
          <w:p w14:paraId="2BCCB152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8)</w:t>
            </w:r>
          </w:p>
        </w:tc>
        <w:tc>
          <w:tcPr>
            <w:tcW w:w="1282" w:type="dxa"/>
          </w:tcPr>
          <w:p w14:paraId="66BB50B5" w14:textId="207B0283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86.0681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3B141941" w14:textId="1CC1A4CF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83.5913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0D19A2DD" w14:textId="1DA86110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2B89C05E" w14:textId="5BDC7E36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80.4954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049" w:type="dxa"/>
          </w:tcPr>
          <w:p w14:paraId="5EA5A5F2" w14:textId="5F9A24D2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85.1393</w:t>
            </w:r>
            <w:r w:rsidR="008122CB">
              <w:rPr>
                <w:sz w:val="18"/>
                <w:szCs w:val="18"/>
              </w:rPr>
              <w:t>%</w:t>
            </w:r>
          </w:p>
        </w:tc>
      </w:tr>
      <w:tr w:rsidR="008122CB" w:rsidRPr="006B54C6" w14:paraId="5F52505E" w14:textId="77777777" w:rsidTr="00D135FF">
        <w:trPr>
          <w:trHeight w:val="198"/>
        </w:trPr>
        <w:tc>
          <w:tcPr>
            <w:tcW w:w="846" w:type="dxa"/>
          </w:tcPr>
          <w:p w14:paraId="7EC1162A" w14:textId="77777777" w:rsidR="008122CB" w:rsidRPr="006B54C6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9)</w:t>
            </w:r>
          </w:p>
        </w:tc>
        <w:tc>
          <w:tcPr>
            <w:tcW w:w="1282" w:type="dxa"/>
          </w:tcPr>
          <w:p w14:paraId="507C585F" w14:textId="22412A52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84.8297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4D570BF4" w14:textId="6BF7C5F5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84.8297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1F726882" w14:textId="278838F8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0320070A" w14:textId="4272B498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81.4241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049" w:type="dxa"/>
          </w:tcPr>
          <w:p w14:paraId="7EBACCDE" w14:textId="7CD6DF5C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84.5201%</w:t>
            </w:r>
          </w:p>
        </w:tc>
      </w:tr>
      <w:tr w:rsidR="008122CB" w:rsidRPr="006B54C6" w14:paraId="0A71B1ED" w14:textId="77777777" w:rsidTr="00D135FF">
        <w:trPr>
          <w:trHeight w:val="198"/>
        </w:trPr>
        <w:tc>
          <w:tcPr>
            <w:tcW w:w="846" w:type="dxa"/>
          </w:tcPr>
          <w:p w14:paraId="73E21052" w14:textId="77777777" w:rsidR="008122CB" w:rsidRDefault="008122C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10)</w:t>
            </w:r>
          </w:p>
        </w:tc>
        <w:tc>
          <w:tcPr>
            <w:tcW w:w="1282" w:type="dxa"/>
          </w:tcPr>
          <w:p w14:paraId="42990264" w14:textId="390E5D45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86.0681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38" w:type="dxa"/>
          </w:tcPr>
          <w:p w14:paraId="02FD7FB0" w14:textId="2FCEAFD0" w:rsidR="008122CB" w:rsidRPr="006B54C6" w:rsidRDefault="0030208B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83.5913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100" w:type="dxa"/>
          </w:tcPr>
          <w:p w14:paraId="52182FBE" w14:textId="5F8DA9C9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75.5418%</w:t>
            </w:r>
          </w:p>
        </w:tc>
        <w:tc>
          <w:tcPr>
            <w:tcW w:w="1101" w:type="dxa"/>
          </w:tcPr>
          <w:p w14:paraId="04EC7DB2" w14:textId="65AE5F65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80.4954</w:t>
            </w:r>
            <w:r w:rsidR="008122CB">
              <w:rPr>
                <w:sz w:val="18"/>
                <w:szCs w:val="18"/>
              </w:rPr>
              <w:t>%</w:t>
            </w:r>
          </w:p>
        </w:tc>
        <w:tc>
          <w:tcPr>
            <w:tcW w:w="1049" w:type="dxa"/>
          </w:tcPr>
          <w:p w14:paraId="7F9ECED5" w14:textId="5B1F3833" w:rsidR="008122CB" w:rsidRPr="006B54C6" w:rsidRDefault="001E50A7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83.2817%</w:t>
            </w:r>
          </w:p>
        </w:tc>
      </w:tr>
    </w:tbl>
    <w:p w14:paraId="188BDAFD" w14:textId="03F04298" w:rsidR="00CA463B" w:rsidRDefault="00CA463B" w:rsidP="001E50A7"/>
    <w:p w14:paraId="33376137" w14:textId="6E9943F5" w:rsidR="008B3931" w:rsidRDefault="008B3931" w:rsidP="001E50A7"/>
    <w:p w14:paraId="08D10B10" w14:textId="41184406" w:rsidR="008B3931" w:rsidRDefault="008B3931" w:rsidP="001E50A7">
      <w:r>
        <w:t xml:space="preserve">Literature </w:t>
      </w:r>
      <w:proofErr w:type="gramStart"/>
      <w:r>
        <w:t>review :</w:t>
      </w:r>
      <w:proofErr w:type="gramEnd"/>
      <w:r>
        <w:t>-</w:t>
      </w:r>
    </w:p>
    <w:p w14:paraId="5AF66AE0" w14:textId="4DAE4D10" w:rsidR="008B3931" w:rsidRDefault="002F2BBF" w:rsidP="001E50A7">
      <w:r>
        <w:t xml:space="preserve">New kinds of studies have been performed on records mining strategies in clinical databases. the number one </w:t>
      </w:r>
      <w:proofErr w:type="gramStart"/>
      <w:r>
        <w:t>descriptions</w:t>
      </w:r>
      <w:proofErr w:type="gramEnd"/>
      <w:r>
        <w:t xml:space="preserve"> are identified:</w:t>
      </w:r>
      <w:r>
        <w:br/>
        <w:t>1. research and demanding situations in mining scientific facts in general are summarised in studies.</w:t>
      </w:r>
      <w:r>
        <w:br/>
        <w:t>2. research on the usage of DM techniques within the evaluation and/or prognosis of sure illnesses</w:t>
      </w:r>
      <w:r>
        <w:br/>
        <w:t>three. studies into elements which is probably associated with a higher occurrence of infection danger.</w:t>
      </w:r>
      <w:r>
        <w:br/>
        <w:t>4. studies into growing enhancements and techniques.</w:t>
      </w:r>
      <w:r>
        <w:br/>
        <w:t>five. research on novel frameworks, device, and packages in medication and healthcare.</w:t>
      </w:r>
    </w:p>
    <w:p w14:paraId="32CF340A" w14:textId="290638FF" w:rsidR="00A205B6" w:rsidRDefault="00A205B6" w:rsidP="001E50A7">
      <w:r>
        <w:t>T</w:t>
      </w:r>
      <w:r>
        <w:t xml:space="preserve">he following are the investigations inside the first magnificence: R. D. Canlas Jr [6] researches advanced analytics and problems in healthcare. A survey of records mining tool studying methodologies and scientific diagnostic structures is provided with the aid of </w:t>
      </w:r>
      <w:proofErr w:type="spellStart"/>
      <w:proofErr w:type="gramStart"/>
      <w:r>
        <w:t>N.Satyanandam</w:t>
      </w:r>
      <w:proofErr w:type="spellEnd"/>
      <w:proofErr w:type="gramEnd"/>
      <w:r>
        <w:t xml:space="preserve"> et </w:t>
      </w:r>
      <w:r>
        <w:lastRenderedPageBreak/>
        <w:t xml:space="preserve">al.[24]. </w:t>
      </w:r>
      <w:proofErr w:type="spellStart"/>
      <w:proofErr w:type="gramStart"/>
      <w:r>
        <w:t>F.Hosseinkhah</w:t>
      </w:r>
      <w:proofErr w:type="spellEnd"/>
      <w:proofErr w:type="gramEnd"/>
      <w:r>
        <w:t xml:space="preserve"> et al.[25] talk the difficulties of mining scientific databases for records. They focus on the residences of scientific statistics and present a few bodily phenomena using information mining strategies which incorporates Nave Bayes, Neural Networks, and affiliation guidelines on a gastrointestinal scientific database. S. ok. Wasan, V. Bhatnagar, and H. Kaur [32] investigate the have an effect on of records mining techniques on scientific diagnoses, which include artificial neural networks. They point out a few areas in medical wherein facts mining and information can be used to reap knowledge from healthcare databases.</w:t>
      </w:r>
    </w:p>
    <w:p w14:paraId="6EC55EB7" w14:textId="235779F2" w:rsidR="005E10A9" w:rsidRPr="008122CB" w:rsidRDefault="005E10A9" w:rsidP="001E50A7">
      <w:r>
        <w:t xml:space="preserve">for </w:t>
      </w:r>
      <w:r>
        <w:t>individual</w:t>
      </w:r>
      <w:r>
        <w:t xml:space="preserve"> to discover which records mining technique is particularly used for disorder prognosis and which for disorder analysis, the studies inside the magnificence may be in addition divided into three categories: people who use machine reading strategies for disorder analysis, illnesses evaluation, or every scientific prognosis.as a way to choose out which records mining approach is specifically used for ailment diagnosis and which for sickness analysis, the studies within the category can be in addition divided into 3 classes: individuals who use system learning strategies for disorder prognosis, illnesses prognosis, or both scientific evaluation.</w:t>
      </w:r>
    </w:p>
    <w:sectPr w:rsidR="005E10A9" w:rsidRPr="0081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1C"/>
    <w:rsid w:val="0005775F"/>
    <w:rsid w:val="001E50A7"/>
    <w:rsid w:val="00266028"/>
    <w:rsid w:val="002F2BBF"/>
    <w:rsid w:val="0030208B"/>
    <w:rsid w:val="005E10A9"/>
    <w:rsid w:val="005E3E26"/>
    <w:rsid w:val="0075641C"/>
    <w:rsid w:val="008122CB"/>
    <w:rsid w:val="008B3931"/>
    <w:rsid w:val="00A205B6"/>
    <w:rsid w:val="00CA463B"/>
    <w:rsid w:val="00D65273"/>
    <w:rsid w:val="00F03514"/>
    <w:rsid w:val="00FC717E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6FA4"/>
  <w15:chartTrackingRefBased/>
  <w15:docId w15:val="{4E24110B-84D6-4F81-AC88-BF4CB40C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64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1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parghi</dc:creator>
  <cp:keywords/>
  <dc:description/>
  <cp:lastModifiedBy>tejas parghi</cp:lastModifiedBy>
  <cp:revision>3</cp:revision>
  <dcterms:created xsi:type="dcterms:W3CDTF">2022-06-09T17:50:00Z</dcterms:created>
  <dcterms:modified xsi:type="dcterms:W3CDTF">2022-06-09T22:42:00Z</dcterms:modified>
</cp:coreProperties>
</file>