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i w:val="0"/>
          <w:color w:val="0F766E"/>
          <w:sz w:val="24"/>
        </w:rPr>
        <w:t>ZUARI INDUSTRIES  ·  GSMA</w:t>
      </w:r>
    </w:p>
    <w:p>
      <w:pPr>
        <w:spacing w:before="320" w:after="80" w:lineRule="auto" w:line="259"/>
        <w:jc w:val="center"/>
      </w:pPr>
      <w:r>
        <w:rPr>
          <w:rFonts w:ascii="Calibri" w:hAnsi="Calibri" w:eastAsia="Calibri"/>
          <w:b/>
          <w:i w:val="0"/>
          <w:color w:val="1E3A5F"/>
          <w:sz w:val="72"/>
        </w:rPr>
        <w:t>DigiLog</w:t>
      </w:r>
    </w:p>
    <w:p>
      <w:pPr>
        <w:spacing w:before="0" w:after="240" w:lineRule="auto" w:line="259"/>
        <w:jc w:val="center"/>
      </w:pPr>
      <w:r>
        <w:rPr>
          <w:rFonts w:ascii="Calibri" w:hAnsi="Calibri" w:eastAsia="Calibri"/>
          <w:b w:val="0"/>
          <w:i w:val="0"/>
          <w:color w:val="1E3A5F"/>
          <w:sz w:val="40"/>
        </w:rPr>
        <w:t>Data Sources and Module Connectivity</w:t>
      </w:r>
    </w:p>
    <w:p>
      <w:pPr>
        <w:jc w:val="center"/>
      </w:pPr>
      <w:r>
        <w:rPr>
          <w:rFonts w:ascii="Calibri" w:hAnsi="Calibri" w:eastAsia="Calibri"/>
          <w:b w:val="0"/>
          <w:i/>
          <w:color w:val="475569"/>
          <w:sz w:val="24"/>
        </w:rPr>
        <w:t>Where every BI dashboard reads from, how Forms Hub and Data Upload feed MySQL, and which modules do not connect.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1F5F9" w:val="clear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color w:val="475569"/>
                <w:sz w:val="22"/>
              </w:rPr>
              <w:t>Product</w:t>
            </w:r>
          </w:p>
        </w:tc>
        <w:tc>
          <w:tcPr>
            <w:tcW w:type="dxa" w:w="498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E3A5F"/>
                <w:sz w:val="22"/>
              </w:rPr>
              <w:t>DigiLog v2</w:t>
            </w:r>
          </w:p>
        </w:tc>
      </w:tr>
      <w:tr>
        <w:tc>
          <w:tcPr>
            <w:tcW w:type="dxa" w:w="4986"/>
            <w:shd w:fill="F1F5F9" w:val="clear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color w:val="475569"/>
                <w:sz w:val="22"/>
              </w:rPr>
              <w:t>Verified against source</w:t>
            </w:r>
          </w:p>
        </w:tc>
        <w:tc>
          <w:tcPr>
            <w:tcW w:type="dxa" w:w="498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E3A5F"/>
                <w:sz w:val="22"/>
              </w:rPr>
              <w:t>24 October 2026</w:t>
            </w:r>
          </w:p>
        </w:tc>
      </w:tr>
      <w:tr>
        <w:tc>
          <w:tcPr>
            <w:tcW w:type="dxa" w:w="4986"/>
            <w:shd w:fill="F1F5F9" w:val="clear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color w:val="475569"/>
                <w:sz w:val="22"/>
              </w:rPr>
              <w:t>Scope</w:t>
            </w:r>
          </w:p>
        </w:tc>
        <w:tc>
          <w:tcPr>
            <w:tcW w:type="dxa" w:w="498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E3A5F"/>
                <w:sz w:val="22"/>
              </w:rPr>
              <w:t>All eight BI dashboards + operational modules</w:t>
            </w:r>
          </w:p>
        </w:tc>
      </w:tr>
      <w:tr>
        <w:tc>
          <w:tcPr>
            <w:tcW w:type="dxa" w:w="4986"/>
            <w:shd w:fill="F1F5F9" w:val="clear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color w:val="475569"/>
                <w:sz w:val="22"/>
              </w:rPr>
              <w:t>Classification</w:t>
            </w:r>
          </w:p>
        </w:tc>
        <w:tc>
          <w:tcPr>
            <w:tcW w:type="dxa" w:w="498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E3A5F"/>
                <w:sz w:val="22"/>
              </w:rPr>
              <w:t>Internal</w:t>
            </w:r>
          </w:p>
        </w:tc>
      </w:tr>
    </w:tbl>
    <w:p>
      <w:pPr>
        <w:pStyle w:val="Heading1"/>
        <w:pageBreakBefore/>
        <w:spacing w:before="320" w:after="160"/>
      </w:pPr>
      <w:r>
        <w:rPr>
          <w:rFonts w:ascii="Calibri" w:hAnsi="Calibri"/>
          <w:b/>
          <w:color w:val="1E3A5F"/>
          <w:sz w:val="40"/>
        </w:rPr>
        <w:t>Contents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/>
          <w:color w:val="475569"/>
          <w:sz w:val="20"/>
        </w:rPr>
        <w:t>In Word: click the field below, press F9 (or right-click → Update Field) to fill page numbers.</w:t>
      </w:r>
    </w:p>
    <w:p>
      <w:r>
        <w:fldChar w:fldCharType="begin"/>
        <w:instrText xml:space="preserve">TOC \o "1-2" \h \z \u</w:instrText>
        <w:fldChar w:fldCharType="separate"/>
        <w:fldChar w:fldCharType="end"/>
      </w:r>
    </w:p>
    <w:p>
      <w:pPr>
        <w:pStyle w:val="ListBullet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>1. How data moves through DigiLog</w:t>
      </w:r>
    </w:p>
    <w:p>
      <w:pPr>
        <w:pStyle w:val="ListBullet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>2. Shared configuration (all dashboards)</w:t>
      </w:r>
    </w:p>
    <w:p>
      <w:pPr>
        <w:pStyle w:val="ListBullet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>3. Data Ingestion Center and other file loads</w:t>
      </w:r>
    </w:p>
    <w:p>
      <w:pPr>
        <w:pStyle w:val="ListBullet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>4. Dashboard data sources (all eight)</w:t>
      </w:r>
    </w:p>
    <w:p>
      <w:pPr>
        <w:pStyle w:val="ListBullet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>5. Forms Hub → MySQL → dashboards (connectivity matrix)</w:t>
      </w:r>
    </w:p>
    <w:p>
      <w:pPr>
        <w:pStyle w:val="ListBullet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>6. Modules that do not feed BI</w:t>
      </w:r>
    </w:p>
    <w:p>
      <w:pPr>
        <w:pStyle w:val="ListBullet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>7. Known gaps</w:t>
      </w:r>
    </w:p>
    <w:p>
      <w:pPr>
        <w:pStyle w:val="Heading1"/>
        <w:pageBreakBefore/>
        <w:spacing w:before="320" w:after="160"/>
      </w:pPr>
      <w:r>
        <w:rPr>
          <w:rFonts w:ascii="Calibri" w:hAnsi="Calibri"/>
          <w:b/>
          <w:color w:val="1E3A5F"/>
          <w:sz w:val="40"/>
        </w:rPr>
        <w:t>1. How data moves through DigiLog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>DigiLog BI is live MySQL. Dashboards do not query Power BI. Operators submit Forms Hub logbooks and/or authorised users upload Excel in Data Ingestion Center (plus one CLI cane import). APIs under /api/bi/… assemble KPIs. Season Mapping and BI constants apply the same date windows everywhere.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/>
          <w:color w:val="475569"/>
          <w:sz w:val="22"/>
        </w:rPr>
        <w:t>Forms Hub  →  MySQL fact tables  →  GET /api/bi/…  →  BI Control Tower dashboards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/>
          <w:color w:val="475569"/>
          <w:sz w:val="22"/>
        </w:rPr>
        <w:t>Data Upload  →  import services (truncate/reload slot tables)  →  same APIs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EF3C7" w:val="clear"/>
            <w:tcBorders>
              <w:top w:val="single" w:sz="12" w:color="D97706"/>
              <w:left w:val="single" w:sz="12" w:color="D97706"/>
              <w:bottom w:val="single" w:sz="12" w:color="D97706"/>
              <w:right w:val="single" w:sz="12" w:color="D97706"/>
            </w:tcBorders>
          </w:tcPr>
          <w:p>
            <w:pPr>
              <w:spacing w:before="120" w:after="40" w:lineRule="auto" w:line="259"/>
            </w:pPr>
            <w:r>
              <w:rPr>
                <w:rFonts w:ascii="Calibri" w:hAnsi="Calibri" w:eastAsia="Calibri"/>
                <w:b/>
                <w:i w:val="0"/>
                <w:color w:val="92400E"/>
                <w:sz w:val="20"/>
              </w:rPr>
              <w:t>Date calendar</w:t>
            </w:r>
          </w:p>
          <w:p>
            <w:pPr>
              <w:spacing w:before="0" w:after="160" w:lineRule="auto" w:line="259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Most cockpits use WTD / MTD / STD / Custom plus a Compare window. STD and season chips come from Admin → Season Mapping (season_mapping). Management Operating Days count rows in dmr_daily (the DMR workbook).</w:t>
            </w:r>
          </w:p>
        </w:tc>
      </w:tr>
    </w:tbl>
    <w:p>
      <w:pPr>
        <w:spacing w:before="0" w:after="160" w:lineRule="auto" w:line="259"/>
      </w:pPr>
    </w:p>
    <w:p>
      <w:pPr>
        <w:pStyle w:val="Heading1"/>
        <w:pageBreakBefore/>
        <w:spacing w:before="320" w:after="160"/>
      </w:pPr>
      <w:r>
        <w:rPr>
          <w:rFonts w:ascii="Calibri" w:hAnsi="Calibri"/>
          <w:b/>
          <w:color w:val="1E3A5F"/>
          <w:sz w:val="40"/>
        </w:rPr>
        <w:t>2. Shared configuration (all dashboards)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Store</w:t>
            </w:r>
          </w:p>
        </w:tc>
        <w:tc>
          <w:tcPr>
            <w:tcW w:type="dxa" w:w="3324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Admin screen</w:t>
            </w:r>
          </w:p>
        </w:tc>
        <w:tc>
          <w:tcPr>
            <w:tcW w:type="dxa" w:w="3324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Used for</w:t>
            </w:r>
          </w:p>
        </w:tc>
      </w:tr>
      <w:tr>
        <w:tc>
          <w:tcPr>
            <w:tcW w:type="dxa" w:w="3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season_mapping</w:t>
            </w:r>
          </w:p>
        </w:tc>
        <w:tc>
          <w:tcPr>
            <w:tcW w:type="dxa" w:w="3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Config → Season Mapping</w:t>
            </w:r>
          </w:p>
        </w:tc>
        <w:tc>
          <w:tcPr>
            <w:tcW w:type="dxa" w:w="3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Season start/end; STD; Compare chips (previous season / previous period)</w:t>
            </w:r>
          </w:p>
        </w:tc>
      </w:tr>
      <w:tr>
        <w:tc>
          <w:tcPr>
            <w:tcW w:type="dxa" w:w="33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season_bi_constants</w:t>
            </w:r>
          </w:p>
        </w:tc>
        <w:tc>
          <w:tcPr>
            <w:tcW w:type="dxa" w:w="33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Config → BI Dashboards</w:t>
            </w:r>
          </w:p>
        </w:tc>
        <w:tc>
          <w:tcPr>
            <w:tcW w:type="dxa" w:w="33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Per-season calculation constants (theoretical yield, tariff, Brix threshold, etc.)</w:t>
            </w:r>
          </w:p>
        </w:tc>
      </w:tr>
      <w:tr>
        <w:tc>
          <w:tcPr>
            <w:tcW w:type="dxa" w:w="3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portal_settings</w:t>
            </w:r>
          </w:p>
        </w:tc>
        <w:tc>
          <w:tcPr>
            <w:tcW w:type="dxa" w:w="3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Config (selected keys)</w:t>
            </w:r>
          </w:p>
        </w:tc>
        <w:tc>
          <w:tcPr>
            <w:tcW w:type="dxa" w:w="3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Portal-level BI settings</w:t>
            </w:r>
          </w:p>
        </w:tc>
      </w:tr>
    </w:tbl>
    <w:p>
      <w:pPr>
        <w:spacing w:before="0" w:after="200" w:lineRule="auto" w:line="259"/>
      </w:pPr>
    </w:p>
    <w:p>
      <w:pPr>
        <w:pStyle w:val="Heading1"/>
        <w:pageBreakBefore/>
        <w:spacing w:before="320" w:after="160"/>
      </w:pPr>
      <w:r>
        <w:rPr>
          <w:rFonts w:ascii="Calibri" w:hAnsi="Calibri"/>
          <w:b/>
          <w:color w:val="1E3A5F"/>
          <w:sz w:val="40"/>
        </w:rPr>
        <w:t>3. Data Ingestion Center and other file loads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>Navbar Data Upload → /data-upload. Three sections (assigned per employee, or all for admin).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1E3A5F"/>
          <w:sz w:val="28"/>
        </w:rPr>
        <w:t>Grower Intelligence uploads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Slot</w:t>
            </w:r>
          </w:p>
        </w:tc>
        <w:tc>
          <w:tcPr>
            <w:tcW w:type="dxa" w:w="3324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UI label</w:t>
            </w:r>
          </w:p>
        </w:tc>
        <w:tc>
          <w:tcPr>
            <w:tcW w:type="dxa" w:w="3324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Loads into</w:t>
            </w:r>
          </w:p>
        </w:tc>
      </w:tr>
      <w:tr>
        <w:tc>
          <w:tcPr>
            <w:tcW w:type="dxa" w:w="3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grower</w:t>
            </w:r>
          </w:p>
        </w:tc>
        <w:tc>
          <w:tcPr>
            <w:tcW w:type="dxa" w:w="3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Grower Details Season</w:t>
            </w:r>
          </w:p>
        </w:tc>
        <w:tc>
          <w:tcPr>
            <w:tcW w:type="dxa" w:w="3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purchy_grower_summary, purchy_indent, purchy_supply, purchy_dishonour</w:t>
            </w:r>
          </w:p>
        </w:tc>
      </w:tr>
      <w:tr>
        <w:tc>
          <w:tcPr>
            <w:tcW w:type="dxa" w:w="33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staff</w:t>
            </w:r>
          </w:p>
        </w:tc>
        <w:tc>
          <w:tcPr>
            <w:tcW w:type="dxa" w:w="33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Staff wise Bonding</w:t>
            </w:r>
          </w:p>
        </w:tc>
        <w:tc>
          <w:tcPr>
            <w:tcW w:type="dxa" w:w="33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purchy_field_staff</w:t>
            </w:r>
          </w:p>
        </w:tc>
      </w:tr>
    </w:tbl>
    <w:p>
      <w:pPr>
        <w:spacing w:before="0" w:after="200" w:lineRule="auto" w:line="259"/>
      </w:pP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/>
          <w:color w:val="475569"/>
          <w:sz w:val="20"/>
        </w:rPr>
        <w:t>Dashboard reads these via purchy_grower_summary_v (view joining summary + staff). Legacy file categories still named “Purchy Analysis — …” are accepted.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1E3A5F"/>
          <w:sz w:val="28"/>
        </w:rPr>
        <w:t>Management Dashboard uploads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Slot</w:t>
            </w:r>
          </w:p>
        </w:tc>
        <w:tc>
          <w:tcPr>
            <w:tcW w:type="dxa" w:w="3324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UI label</w:t>
            </w:r>
          </w:p>
        </w:tc>
        <w:tc>
          <w:tcPr>
            <w:tcW w:type="dxa" w:w="3324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Loads into</w:t>
            </w:r>
          </w:p>
        </w:tc>
      </w:tr>
      <w:tr>
        <w:tc>
          <w:tcPr>
            <w:tcW w:type="dxa" w:w="3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indent-purchase</w:t>
            </w:r>
          </w:p>
        </w:tc>
        <w:tc>
          <w:tcPr>
            <w:tcW w:type="dxa" w:w="3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Centre Indent &amp; Purchase (2 sheets)</w:t>
            </w:r>
          </w:p>
        </w:tc>
        <w:tc>
          <w:tcPr>
            <w:tcW w:type="dxa" w:w="3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centre_indent_data (sheet 1), centre_purchase_data (sheet 2)</w:t>
            </w:r>
          </w:p>
        </w:tc>
      </w:tr>
      <w:tr>
        <w:tc>
          <w:tcPr>
            <w:tcW w:type="dxa" w:w="33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dmr</w:t>
            </w:r>
          </w:p>
        </w:tc>
        <w:tc>
          <w:tcPr>
            <w:tcW w:type="dxa" w:w="33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DMR workbook (Sheet1)</w:t>
            </w:r>
          </w:p>
        </w:tc>
        <w:tc>
          <w:tcPr>
            <w:tcW w:type="dxa" w:w="33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dmr_daily — calendar spine and mill/sugar DMR columns</w:t>
            </w:r>
          </w:p>
        </w:tc>
      </w:tr>
    </w:tbl>
    <w:p>
      <w:pPr>
        <w:spacing w:before="0" w:after="200" w:lineRule="auto" w:line="259"/>
      </w:pPr>
    </w:p>
    <w:p>
      <w:pPr>
        <w:pStyle w:val="Heading2"/>
        <w:spacing w:before="200" w:after="120"/>
      </w:pPr>
      <w:r>
        <w:rPr>
          <w:rFonts w:ascii="Calibri" w:hAnsi="Calibri"/>
          <w:b/>
          <w:color w:val="1E3A5F"/>
          <w:sz w:val="28"/>
        </w:rPr>
        <w:t>Milling Operations uploads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Slot</w:t>
            </w:r>
          </w:p>
        </w:tc>
        <w:tc>
          <w:tcPr>
            <w:tcW w:type="dxa" w:w="2493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Typical file</w:t>
            </w:r>
          </w:p>
        </w:tc>
        <w:tc>
          <w:tcPr>
            <w:tcW w:type="dxa" w:w="2493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Loads into</w:t>
            </w:r>
          </w:p>
        </w:tc>
        <w:tc>
          <w:tcPr>
            <w:tcW w:type="dxa" w:w="2493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249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data_mill</w:t>
            </w:r>
          </w:p>
        </w:tc>
        <w:tc>
          <w:tcPr>
            <w:tcW w:type="dxa" w:w="249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Data_Mill.xlsx</w:t>
            </w:r>
          </w:p>
        </w:tc>
        <w:tc>
          <w:tcPr>
            <w:tcW w:type="dxa" w:w="249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data_mill_mapping</w:t>
            </w:r>
          </w:p>
        </w:tc>
        <w:tc>
          <w:tcPr>
            <w:tcW w:type="dxa" w:w="249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Map mill_logbook1 columns to equipment names</w:t>
            </w:r>
          </w:p>
        </w:tc>
      </w:tr>
      <w:tr>
        <w:tc>
          <w:tcPr>
            <w:tcW w:type="dxa" w:w="249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data_shredder</w:t>
            </w:r>
          </w:p>
        </w:tc>
        <w:tc>
          <w:tcPr>
            <w:tcW w:type="dxa" w:w="249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DataShredder_Names.xlsx</w:t>
            </w:r>
          </w:p>
        </w:tc>
        <w:tc>
          <w:tcPr>
            <w:tcW w:type="dxa" w:w="249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data_shredder_mapping</w:t>
            </w:r>
          </w:p>
        </w:tc>
        <w:tc>
          <w:tcPr>
            <w:tcW w:type="dxa" w:w="249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Map mill_logbook2 variables</w:t>
            </w:r>
          </w:p>
        </w:tc>
      </w:tr>
      <w:tr>
        <w:tc>
          <w:tcPr>
            <w:tcW w:type="dxa" w:w="249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data_lube</w:t>
            </w:r>
          </w:p>
        </w:tc>
        <w:tc>
          <w:tcPr>
            <w:tcW w:type="dxa" w:w="249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DataLube_Names.xlsx</w:t>
            </w:r>
          </w:p>
        </w:tc>
        <w:tc>
          <w:tcPr>
            <w:tcW w:type="dxa" w:w="249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data_lube_mapping</w:t>
            </w:r>
          </w:p>
        </w:tc>
        <w:tc>
          <w:tcPr>
            <w:tcW w:type="dxa" w:w="249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Map mill_logbook3 variables</w:t>
            </w:r>
          </w:p>
        </w:tc>
      </w:tr>
    </w:tbl>
    <w:p>
      <w:pPr>
        <w:spacing w:before="0" w:after="200" w:lineRule="auto" w:line="259"/>
      </w:pP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/>
          <w:color w:val="475569"/>
          <w:sz w:val="20"/>
        </w:rPr>
        <w:t>These mapping files do not hold temperatures. Temperatures come from Mill Logbook forms. Without mappings, mill thermal/lube charts have nothing to label.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1E3A5F"/>
          <w:sz w:val="28"/>
        </w:rPr>
        <w:t>Cane Operations Excel (not in Data Upload UI)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>Cane Operations uses g_ctc (gate / G_CTC) and cnt_performance (centre). They are loaded with the backend CLI import-cane-performance (Excel → MySQL), not the Data Ingestion Center screen. There is no live MSSQL path (USE_MSSQL_LIVE is false).</w:t>
      </w:r>
    </w:p>
    <w:p>
      <w:pPr>
        <w:pStyle w:val="Heading1"/>
        <w:pageBreakBefore/>
        <w:spacing w:before="320" w:after="160"/>
      </w:pPr>
      <w:r>
        <w:rPr>
          <w:rFonts w:ascii="Calibri" w:hAnsi="Calibri"/>
          <w:b/>
          <w:color w:val="1E3A5F"/>
          <w:sz w:val="40"/>
        </w:rPr>
        <w:t>4. Dashboard data sources (all eight)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>Hub order matches BI Control Tower. API base is /api/bi unless noted.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1E3A5F"/>
          <w:sz w:val="28"/>
        </w:rPr>
        <w:t>4.1 Management Overview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>Route /bi/management-dashboard · API GET /api/bi/management-dashboard · form_key bi_management_dashboard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>Date bounds = MIN/MAX of dmr_daily.Date. Logbook tables use the latest row per Date. Milling/sugar series prefer DMR columns and overlay ops/ds/rs where present. Power crush can fall back to DMR Total Cane if ph_power.Crush is empty.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Scorecard row</w:t>
            </w:r>
          </w:p>
        </w:tc>
        <w:tc>
          <w:tcPr>
            <w:tcW w:type="dxa" w:w="3324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MySQL</w:t>
            </w:r>
          </w:p>
        </w:tc>
        <w:tc>
          <w:tcPr>
            <w:tcW w:type="dxa" w:w="3324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How it is filled</w:t>
            </w:r>
          </w:p>
        </w:tc>
      </w:tr>
      <w:tr>
        <w:tc>
          <w:tcPr>
            <w:tcW w:type="dxa" w:w="3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Cane — indent, purchase, overrun (gate/center)</w:t>
            </w:r>
          </w:p>
        </w:tc>
        <w:tc>
          <w:tcPr>
            <w:tcW w:type="dxa" w:w="3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centre_indent_data, centre_purchase_data</w:t>
            </w:r>
          </w:p>
        </w:tc>
        <w:tc>
          <w:tcPr>
            <w:tcW w:type="dxa" w:w="3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Data Upload → Centre Indent &amp; Purchase</w:t>
            </w:r>
          </w:p>
        </w:tc>
      </w:tr>
      <w:tr>
        <w:tc>
          <w:tcPr>
            <w:tcW w:type="dxa" w:w="33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Cane — yard balance, pol in cane</w:t>
            </w:r>
          </w:p>
        </w:tc>
        <w:tc>
          <w:tcPr>
            <w:tcW w:type="dxa" w:w="33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ops_logbook, ds_logbook</w:t>
            </w:r>
          </w:p>
        </w:tc>
        <w:tc>
          <w:tcPr>
            <w:tcW w:type="dxa" w:w="33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Lab Logbook → Operations Logbook, DS Logbook</w:t>
            </w:r>
          </w:p>
        </w:tc>
      </w:tr>
      <w:tr>
        <w:tc>
          <w:tcPr>
            <w:tcW w:type="dxa" w:w="3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Milling / Sugar (crush, mixed juice, recovery, bagasse, etc.)</w:t>
            </w:r>
          </w:p>
        </w:tc>
        <w:tc>
          <w:tcPr>
            <w:tcW w:type="dxa" w:w="3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dmr_daily overlay ops_logbook, ds_logbook, rs_logbook</w:t>
            </w:r>
          </w:p>
        </w:tc>
        <w:tc>
          <w:tcPr>
            <w:tcW w:type="dxa" w:w="3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Data Upload → DMR + Lab DS / RS / Operations</w:t>
            </w:r>
          </w:p>
        </w:tc>
      </w:tr>
      <w:tr>
        <w:tc>
          <w:tcPr>
            <w:tcW w:type="dxa" w:w="33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Power (generation, export, steam)</w:t>
            </w:r>
          </w:p>
        </w:tc>
        <w:tc>
          <w:tcPr>
            <w:tcW w:type="dxa" w:w="33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ph_power, ph_steam</w:t>
            </w:r>
          </w:p>
        </w:tc>
        <w:tc>
          <w:tcPr>
            <w:tcW w:type="dxa" w:w="33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Power Logbook → Power Details, Steam Details</w:t>
            </w:r>
          </w:p>
        </w:tc>
      </w:tr>
      <w:tr>
        <w:tc>
          <w:tcPr>
            <w:tcW w:type="dxa" w:w="3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Distillery</w:t>
            </w:r>
          </w:p>
        </w:tc>
        <w:tc>
          <w:tcPr>
            <w:tcW w:type="dxa" w:w="3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distillery_operations</w:t>
            </w:r>
          </w:p>
        </w:tc>
        <w:tc>
          <w:tcPr>
            <w:tcW w:type="dxa" w:w="3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Distillery Operations form</w:t>
            </w:r>
          </w:p>
        </w:tc>
      </w:tr>
    </w:tbl>
    <w:p>
      <w:pPr>
        <w:spacing w:before="0" w:after="200" w:lineRule="auto" w:line="259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EF3C7" w:val="clear"/>
            <w:tcBorders>
              <w:top w:val="single" w:sz="12" w:color="D97706"/>
              <w:left w:val="single" w:sz="12" w:color="D97706"/>
              <w:bottom w:val="single" w:sz="12" w:color="D97706"/>
              <w:right w:val="single" w:sz="12" w:color="D97706"/>
            </w:tcBorders>
          </w:tcPr>
          <w:p>
            <w:pPr>
              <w:spacing w:before="120" w:after="40" w:lineRule="auto" w:line="259"/>
            </w:pPr>
            <w:r>
              <w:rPr>
                <w:rFonts w:ascii="Calibri" w:hAnsi="Calibri" w:eastAsia="Calibri"/>
                <w:b/>
                <w:i w:val="0"/>
                <w:color w:val="92400E"/>
                <w:sz w:val="20"/>
              </w:rPr>
              <w:t>Not connected</w:t>
            </w:r>
          </w:p>
          <w:p>
            <w:pPr>
              <w:spacing w:before="0" w:after="160" w:lineRule="auto" w:line="259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PBI Outage table has no MySQL import for this dashboard. Mill stoppages feed Milling Operations, not Management.</w:t>
            </w:r>
          </w:p>
        </w:tc>
      </w:tr>
    </w:tbl>
    <w:p>
      <w:pPr>
        <w:spacing w:before="0" w:after="160" w:lineRule="auto" w:line="259"/>
      </w:pPr>
    </w:p>
    <w:p>
      <w:pPr>
        <w:pStyle w:val="Heading2"/>
        <w:spacing w:before="200" w:after="120"/>
      </w:pPr>
      <w:r>
        <w:rPr>
          <w:rFonts w:ascii="Calibri" w:hAnsi="Calibri"/>
          <w:b/>
          <w:color w:val="1E3A5F"/>
          <w:sz w:val="28"/>
        </w:rPr>
        <w:t>4.2 Cane Operations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>Route /bi/cane-performance · API /api/bi/cane-performance/procurement (and tab aliases) · form_key bi_cane_performance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Tabs (typical)</w:t>
            </w:r>
          </w:p>
        </w:tc>
        <w:tc>
          <w:tcPr>
            <w:tcW w:type="dxa" w:w="3324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MySQL</w:t>
            </w:r>
          </w:p>
        </w:tc>
        <w:tc>
          <w:tcPr>
            <w:tcW w:type="dxa" w:w="3324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Grain</w:t>
            </w:r>
          </w:p>
        </w:tc>
      </w:tr>
      <w:tr>
        <w:tc>
          <w:tcPr>
            <w:tcW w:type="dxa" w:w="3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Gate 1, Gate 2, procurement gate side</w:t>
            </w:r>
          </w:p>
        </w:tc>
        <w:tc>
          <w:tcPr>
            <w:tcW w:type="dxa" w:w="3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g_ctc (date m_date)</w:t>
            </w:r>
          </w:p>
        </w:tc>
        <w:tc>
          <w:tcPr>
            <w:tcW w:type="dxa" w:w="3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Gate purchy / yard / mill waiting</w:t>
            </w:r>
          </w:p>
        </w:tc>
      </w:tr>
      <w:tr>
        <w:tc>
          <w:tcPr>
            <w:tcW w:type="dxa" w:w="33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Center Purchase, vehicle handling/holding, truck transit/holding</w:t>
            </w:r>
          </w:p>
        </w:tc>
        <w:tc>
          <w:tcPr>
            <w:tcW w:type="dxa" w:w="33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cnt_performance (date report_date)</w:t>
            </w:r>
          </w:p>
        </w:tc>
        <w:tc>
          <w:tcPr>
            <w:tcW w:type="dxa" w:w="33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Centre purchy, holding, transit</w:t>
            </w:r>
          </w:p>
        </w:tc>
      </w:tr>
    </w:tbl>
    <w:p>
      <w:pPr>
        <w:spacing w:before="0" w:after="200" w:lineRule="auto" w:line="259"/>
      </w:pP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>Source: cane Excel import (CLI), not Forms Hub and not Data Upload UI.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1E3A5F"/>
          <w:sz w:val="28"/>
        </w:rPr>
        <w:t>4.3 Cane Quality (Brix)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>Route /bi/brix-sampling · APIs /api/bi/brix-field/… and /api/bi/brix-yard/… · form_key bi_brix_sampling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Tab</w:t>
            </w:r>
          </w:p>
        </w:tc>
        <w:tc>
          <w:tcPr>
            <w:tcW w:type="dxa" w:w="3324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MySQL</w:t>
            </w:r>
          </w:p>
        </w:tc>
        <w:tc>
          <w:tcPr>
            <w:tcW w:type="dxa" w:w="3324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How it is filled</w:t>
            </w:r>
          </w:p>
        </w:tc>
      </w:tr>
      <w:tr>
        <w:tc>
          <w:tcPr>
            <w:tcW w:type="dxa" w:w="3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Field Sampling</w:t>
            </w:r>
          </w:p>
        </w:tc>
        <w:tc>
          <w:tcPr>
            <w:tcW w:type="dxa" w:w="3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brix_field_sampling</w:t>
            </w:r>
          </w:p>
        </w:tc>
        <w:tc>
          <w:tcPr>
            <w:tcW w:type="dxa" w:w="3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Forms Hub → Brix Sampling Forms → GSMA Field Brix</w:t>
            </w:r>
          </w:p>
        </w:tc>
      </w:tr>
      <w:tr>
        <w:tc>
          <w:tcPr>
            <w:tcW w:type="dxa" w:w="33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Yard Sampling</w:t>
            </w:r>
          </w:p>
        </w:tc>
        <w:tc>
          <w:tcPr>
            <w:tcW w:type="dxa" w:w="33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brix_yard_sampling</w:t>
            </w:r>
          </w:p>
        </w:tc>
        <w:tc>
          <w:tcPr>
            <w:tcW w:type="dxa" w:w="33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Forms Hub → Brix Sampling Forms → GSMA Yard Brix</w:t>
            </w:r>
          </w:p>
        </w:tc>
      </w:tr>
    </w:tbl>
    <w:p>
      <w:pPr>
        <w:spacing w:before="0" w:after="200" w:lineRule="auto" w:line="259"/>
      </w:pP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/>
          <w:color w:val="475569"/>
          <w:sz w:val="20"/>
        </w:rPr>
        <w:t>Yard BI also joins purchy_grower_summary and purchy_supply for grower/supply context when those Grower Intelligence tables are loaded. Seasons from season_mapping.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1E3A5F"/>
          <w:sz w:val="28"/>
        </w:rPr>
        <w:t>4.4 Centre Maturity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>Route /bi/centre-maturity · API GET /api/bi/centre-maturity/data · form_key bi_centre_maturity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>Same indent/purchase facts as Management Cane row: centre_indent_data and centre_purchase_data (Data Upload → Centre Indent &amp; Purchase). Compare window uses pyFrom/pyTo. Date bounds from indent dates and Season Mapping.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1E3A5F"/>
          <w:sz w:val="28"/>
        </w:rPr>
        <w:t>4.5 Milling Operations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>Route /bi/milling-operations · APIs milling-operations, milling-equipment-temp, milling-shredder, milling-lube-roller · form_key bi_milling_operations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Tab</w:t>
            </w:r>
          </w:p>
        </w:tc>
        <w:tc>
          <w:tcPr>
            <w:tcW w:type="dxa" w:w="2493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Fact table</w:t>
            </w:r>
          </w:p>
        </w:tc>
        <w:tc>
          <w:tcPr>
            <w:tcW w:type="dxa" w:w="2493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Name map</w:t>
            </w:r>
          </w:p>
        </w:tc>
        <w:tc>
          <w:tcPr>
            <w:tcW w:type="dxa" w:w="2493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How facts are filled</w:t>
            </w:r>
          </w:p>
        </w:tc>
      </w:tr>
      <w:tr>
        <w:tc>
          <w:tcPr>
            <w:tcW w:type="dxa" w:w="249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Mill Outage</w:t>
            </w:r>
          </w:p>
        </w:tc>
        <w:tc>
          <w:tcPr>
            <w:tcW w:type="dxa" w:w="249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mill_stoppages</w:t>
            </w:r>
          </w:p>
        </w:tc>
        <w:tc>
          <w:tcPr>
            <w:tcW w:type="dxa" w:w="249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9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Mill Logbook → Mill Stoppages</w:t>
            </w:r>
          </w:p>
        </w:tc>
      </w:tr>
      <w:tr>
        <w:tc>
          <w:tcPr>
            <w:tcW w:type="dxa" w:w="249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Equipment Temperature</w:t>
            </w:r>
          </w:p>
        </w:tc>
        <w:tc>
          <w:tcPr>
            <w:tcW w:type="dxa" w:w="249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mill_logbook1</w:t>
            </w:r>
          </w:p>
        </w:tc>
        <w:tc>
          <w:tcPr>
            <w:tcW w:type="dxa" w:w="249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data_mill_mapping</w:t>
            </w:r>
          </w:p>
        </w:tc>
        <w:tc>
          <w:tcPr>
            <w:tcW w:type="dxa" w:w="249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Mill Logbook → Equipment Temperature</w:t>
            </w:r>
          </w:p>
        </w:tc>
      </w:tr>
      <w:tr>
        <w:tc>
          <w:tcPr>
            <w:tcW w:type="dxa" w:w="249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Shredder and OTG Temp</w:t>
            </w:r>
          </w:p>
        </w:tc>
        <w:tc>
          <w:tcPr>
            <w:tcW w:type="dxa" w:w="249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mill_logbook2</w:t>
            </w:r>
          </w:p>
        </w:tc>
        <w:tc>
          <w:tcPr>
            <w:tcW w:type="dxa" w:w="249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data_shredder_mapping</w:t>
            </w:r>
          </w:p>
        </w:tc>
        <w:tc>
          <w:tcPr>
            <w:tcW w:type="dxa" w:w="249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Mill Logbook → Shredder and OTG</w:t>
            </w:r>
          </w:p>
        </w:tc>
      </w:tr>
      <w:tr>
        <w:tc>
          <w:tcPr>
            <w:tcW w:type="dxa" w:w="249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Lube &amp; Roller Temp</w:t>
            </w:r>
          </w:p>
        </w:tc>
        <w:tc>
          <w:tcPr>
            <w:tcW w:type="dxa" w:w="249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mill_logbook3</w:t>
            </w:r>
          </w:p>
        </w:tc>
        <w:tc>
          <w:tcPr>
            <w:tcW w:type="dxa" w:w="249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data_lube_mapping</w:t>
            </w:r>
          </w:p>
        </w:tc>
        <w:tc>
          <w:tcPr>
            <w:tcW w:type="dxa" w:w="249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Mill Logbook → Lube Pressure and Roller Temp</w:t>
            </w:r>
          </w:p>
        </w:tc>
      </w:tr>
    </w:tbl>
    <w:p>
      <w:pPr>
        <w:spacing w:before="0" w:after="200" w:lineRule="auto" w:line="259"/>
      </w:pPr>
    </w:p>
    <w:p>
      <w:pPr>
        <w:pStyle w:val="Heading2"/>
        <w:spacing w:before="200" w:after="120"/>
      </w:pPr>
      <w:r>
        <w:rPr>
          <w:rFonts w:ascii="Calibri" w:hAnsi="Calibri"/>
          <w:b/>
          <w:color w:val="1E3A5F"/>
          <w:sz w:val="28"/>
        </w:rPr>
        <w:t>4.6 Power Plant Operations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>Route /bi/power-house · API GET /api/bi/power-house · form_key bi_power_house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>Date union of ph_power, ph_steam, ph_stoppage (latest row per Date).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Tabs</w:t>
            </w:r>
          </w:p>
        </w:tc>
        <w:tc>
          <w:tcPr>
            <w:tcW w:type="dxa" w:w="3324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MySQL</w:t>
            </w:r>
          </w:p>
        </w:tc>
        <w:tc>
          <w:tcPr>
            <w:tcW w:type="dxa" w:w="3324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Form</w:t>
            </w:r>
          </w:p>
        </w:tc>
      </w:tr>
      <w:tr>
        <w:tc>
          <w:tcPr>
            <w:tcW w:type="dxa" w:w="3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Power Summary, Generation, Consumption</w:t>
            </w:r>
          </w:p>
        </w:tc>
        <w:tc>
          <w:tcPr>
            <w:tcW w:type="dxa" w:w="3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ph_power</w:t>
            </w:r>
          </w:p>
        </w:tc>
        <w:tc>
          <w:tcPr>
            <w:tcW w:type="dxa" w:w="3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Power Logbook → Power Details</w:t>
            </w:r>
          </w:p>
        </w:tc>
      </w:tr>
      <w:tr>
        <w:tc>
          <w:tcPr>
            <w:tcW w:type="dxa" w:w="33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Steam Summary, Steam Consumption</w:t>
            </w:r>
          </w:p>
        </w:tc>
        <w:tc>
          <w:tcPr>
            <w:tcW w:type="dxa" w:w="33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ph_steam</w:t>
            </w:r>
          </w:p>
        </w:tc>
        <w:tc>
          <w:tcPr>
            <w:tcW w:type="dxa" w:w="33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Power Logbook → Steam Details</w:t>
            </w:r>
          </w:p>
        </w:tc>
      </w:tr>
      <w:tr>
        <w:tc>
          <w:tcPr>
            <w:tcW w:type="dxa" w:w="3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Outage</w:t>
            </w:r>
          </w:p>
        </w:tc>
        <w:tc>
          <w:tcPr>
            <w:tcW w:type="dxa" w:w="3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ph_stoppage</w:t>
            </w:r>
          </w:p>
        </w:tc>
        <w:tc>
          <w:tcPr>
            <w:tcW w:type="dxa" w:w="3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Power Logbook → Stoppage Details</w:t>
            </w:r>
          </w:p>
        </w:tc>
      </w:tr>
      <w:tr>
        <w:tc>
          <w:tcPr>
            <w:tcW w:type="dxa" w:w="33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Process</w:t>
            </w:r>
          </w:p>
        </w:tc>
        <w:tc>
          <w:tcPr>
            <w:tcW w:type="dxa" w:w="33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same three</w:t>
            </w:r>
          </w:p>
        </w:tc>
        <w:tc>
          <w:tcPr>
            <w:tcW w:type="dxa" w:w="33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Derived process view</w:t>
            </w:r>
          </w:p>
        </w:tc>
      </w:tr>
    </w:tbl>
    <w:p>
      <w:pPr>
        <w:spacing w:before="0" w:after="200" w:lineRule="auto" w:line="259"/>
      </w:pPr>
    </w:p>
    <w:p>
      <w:pPr>
        <w:pStyle w:val="Heading2"/>
        <w:spacing w:before="200" w:after="120"/>
      </w:pPr>
      <w:r>
        <w:rPr>
          <w:rFonts w:ascii="Calibri" w:hAnsi="Calibri"/>
          <w:b/>
          <w:color w:val="1E3A5F"/>
          <w:sz w:val="28"/>
        </w:rPr>
        <w:t>4.7 Distillery Operations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>Route /bi/distillery-operations · API GET /api/bi/distillery-operations · form_key bi_distillery_operations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>Single fact table distillery_operations from Distillery Operations Form. Latest row per Date. Charts: ethanol volume, fermentation sugar, efficiency, wash, molasses stock, ethanol stock.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1E3A5F"/>
          <w:sz w:val="28"/>
        </w:rPr>
        <w:t>4.8 Grower Intelligence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>Route /bi/purchy-analysis · APIs /api/bi/purchy/… · form_key bi_purchy_analysis (unchanged)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Tab</w:t>
            </w:r>
          </w:p>
        </w:tc>
        <w:tc>
          <w:tcPr>
            <w:tcW w:type="dxa" w:w="4986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Primary tables</w:t>
            </w:r>
          </w:p>
        </w:tc>
      </w:tr>
      <w:tr>
        <w:tc>
          <w:tcPr>
            <w:tcW w:type="dxa" w:w="498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Grower Performance</w:t>
            </w:r>
          </w:p>
        </w:tc>
        <w:tc>
          <w:tcPr>
            <w:tcW w:type="dxa" w:w="498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purchy_grower_summary_v, purchy_indent, purchy_supply</w:t>
            </w:r>
          </w:p>
        </w:tc>
      </w:tr>
      <w:tr>
        <w:tc>
          <w:tcPr>
            <w:tcW w:type="dxa" w:w="498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Purchy Dishonour / Dishonour Drilldown</w:t>
            </w:r>
          </w:p>
        </w:tc>
        <w:tc>
          <w:tcPr>
            <w:tcW w:type="dxa" w:w="498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purchy_dishonour + grower view</w:t>
            </w:r>
          </w:p>
        </w:tc>
      </w:tr>
      <w:tr>
        <w:tc>
          <w:tcPr>
            <w:tcW w:type="dxa" w:w="498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Staff Drilldown</w:t>
            </w:r>
          </w:p>
        </w:tc>
        <w:tc>
          <w:tcPr>
            <w:tcW w:type="dxa" w:w="498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purchy_field_staff + purchy_grower_summary_v</w:t>
            </w:r>
          </w:p>
        </w:tc>
      </w:tr>
      <w:tr>
        <w:tc>
          <w:tcPr>
            <w:tcW w:type="dxa" w:w="498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Failure by Date</w:t>
            </w:r>
          </w:p>
        </w:tc>
        <w:tc>
          <w:tcPr>
            <w:tcW w:type="dxa" w:w="498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purchy_indent, purchy_dishonour, purchy_supply</w:t>
            </w:r>
          </w:p>
        </w:tc>
      </w:tr>
    </w:tbl>
    <w:p>
      <w:pPr>
        <w:spacing w:before="0" w:after="200" w:lineRule="auto" w:line="259"/>
      </w:pP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>Filled only by Grower Intelligence Data Upload (grower + staff workbooks). Not a Forms Hub logbook.</w:t>
      </w:r>
    </w:p>
    <w:p>
      <w:pPr>
        <w:pStyle w:val="Heading1"/>
        <w:pageBreakBefore/>
        <w:spacing w:before="320" w:after="160"/>
      </w:pPr>
      <w:r>
        <w:rPr>
          <w:rFonts w:ascii="Calibri" w:hAnsi="Calibri"/>
          <w:b/>
          <w:color w:val="1E3A5F"/>
          <w:sz w:val="40"/>
        </w:rPr>
        <w:t>5. Forms Hub → MySQL → dashboards (connectivity matrix)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>Each submitted form writes one MySQL table (form_key → table in FORM_CONFIG). BI reads those tables. Forms Approval queues the row until HOD accept; BI sees stored rows (pending vs approved behaviour follows form-approval policy).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Forms Hub app</w:t>
            </w:r>
          </w:p>
        </w:tc>
        <w:tc>
          <w:tcPr>
            <w:tcW w:type="dxa" w:w="2493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Form</w:t>
            </w:r>
          </w:p>
        </w:tc>
        <w:tc>
          <w:tcPr>
            <w:tcW w:type="dxa" w:w="2493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MySQL table</w:t>
            </w:r>
          </w:p>
        </w:tc>
        <w:tc>
          <w:tcPr>
            <w:tcW w:type="dxa" w:w="2493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Dashboards that read it</w:t>
            </w:r>
          </w:p>
        </w:tc>
      </w:tr>
      <w:tr>
        <w:tc>
          <w:tcPr>
            <w:tcW w:type="dxa" w:w="249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Mill Logbook</w:t>
            </w:r>
          </w:p>
        </w:tc>
        <w:tc>
          <w:tcPr>
            <w:tcW w:type="dxa" w:w="249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Equipment Temperature</w:t>
            </w:r>
          </w:p>
        </w:tc>
        <w:tc>
          <w:tcPr>
            <w:tcW w:type="dxa" w:w="249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mill_logbook1</w:t>
            </w:r>
          </w:p>
        </w:tc>
        <w:tc>
          <w:tcPr>
            <w:tcW w:type="dxa" w:w="249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Milling — Equipment Temperature</w:t>
            </w:r>
          </w:p>
        </w:tc>
      </w:tr>
      <w:tr>
        <w:tc>
          <w:tcPr>
            <w:tcW w:type="dxa" w:w="249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Mill Logbook</w:t>
            </w:r>
          </w:p>
        </w:tc>
        <w:tc>
          <w:tcPr>
            <w:tcW w:type="dxa" w:w="249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Shredder and OTG</w:t>
            </w:r>
          </w:p>
        </w:tc>
        <w:tc>
          <w:tcPr>
            <w:tcW w:type="dxa" w:w="249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mill_logbook2</w:t>
            </w:r>
          </w:p>
        </w:tc>
        <w:tc>
          <w:tcPr>
            <w:tcW w:type="dxa" w:w="249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Milling — Shredder and OTG</w:t>
            </w:r>
          </w:p>
        </w:tc>
      </w:tr>
      <w:tr>
        <w:tc>
          <w:tcPr>
            <w:tcW w:type="dxa" w:w="249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Mill Logbook</w:t>
            </w:r>
          </w:p>
        </w:tc>
        <w:tc>
          <w:tcPr>
            <w:tcW w:type="dxa" w:w="249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Lube Pressure and Roller Temp</w:t>
            </w:r>
          </w:p>
        </w:tc>
        <w:tc>
          <w:tcPr>
            <w:tcW w:type="dxa" w:w="249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mill_logbook3</w:t>
            </w:r>
          </w:p>
        </w:tc>
        <w:tc>
          <w:tcPr>
            <w:tcW w:type="dxa" w:w="249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Milling — Lube &amp; Roller</w:t>
            </w:r>
          </w:p>
        </w:tc>
      </w:tr>
      <w:tr>
        <w:tc>
          <w:tcPr>
            <w:tcW w:type="dxa" w:w="249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Mill Logbook</w:t>
            </w:r>
          </w:p>
        </w:tc>
        <w:tc>
          <w:tcPr>
            <w:tcW w:type="dxa" w:w="249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Mill Stoppages</w:t>
            </w:r>
          </w:p>
        </w:tc>
        <w:tc>
          <w:tcPr>
            <w:tcW w:type="dxa" w:w="249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mill_stoppages</w:t>
            </w:r>
          </w:p>
        </w:tc>
        <w:tc>
          <w:tcPr>
            <w:tcW w:type="dxa" w:w="249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Milling — Mill Outage</w:t>
            </w:r>
          </w:p>
        </w:tc>
      </w:tr>
      <w:tr>
        <w:tc>
          <w:tcPr>
            <w:tcW w:type="dxa" w:w="249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Lab Logbook</w:t>
            </w:r>
          </w:p>
        </w:tc>
        <w:tc>
          <w:tcPr>
            <w:tcW w:type="dxa" w:w="249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DS Logbook</w:t>
            </w:r>
          </w:p>
        </w:tc>
        <w:tc>
          <w:tcPr>
            <w:tcW w:type="dxa" w:w="249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ds_logbook</w:t>
            </w:r>
          </w:p>
        </w:tc>
        <w:tc>
          <w:tcPr>
            <w:tcW w:type="dxa" w:w="249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Management (pol, mill/sugar overlay)</w:t>
            </w:r>
          </w:p>
        </w:tc>
      </w:tr>
      <w:tr>
        <w:tc>
          <w:tcPr>
            <w:tcW w:type="dxa" w:w="249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Lab Logbook</w:t>
            </w:r>
          </w:p>
        </w:tc>
        <w:tc>
          <w:tcPr>
            <w:tcW w:type="dxa" w:w="249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RS Logbook</w:t>
            </w:r>
          </w:p>
        </w:tc>
        <w:tc>
          <w:tcPr>
            <w:tcW w:type="dxa" w:w="249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rs_logbook</w:t>
            </w:r>
          </w:p>
        </w:tc>
        <w:tc>
          <w:tcPr>
            <w:tcW w:type="dxa" w:w="249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Management (mill/sugar overlay)</w:t>
            </w:r>
          </w:p>
        </w:tc>
      </w:tr>
      <w:tr>
        <w:tc>
          <w:tcPr>
            <w:tcW w:type="dxa" w:w="249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Lab Logbook</w:t>
            </w:r>
          </w:p>
        </w:tc>
        <w:tc>
          <w:tcPr>
            <w:tcW w:type="dxa" w:w="249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Operations Logbook</w:t>
            </w:r>
          </w:p>
        </w:tc>
        <w:tc>
          <w:tcPr>
            <w:tcW w:type="dxa" w:w="249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ops_logbook</w:t>
            </w:r>
          </w:p>
        </w:tc>
        <w:tc>
          <w:tcPr>
            <w:tcW w:type="dxa" w:w="249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Management (yard bal, mill/sugar overlay)</w:t>
            </w:r>
          </w:p>
        </w:tc>
      </w:tr>
      <w:tr>
        <w:tc>
          <w:tcPr>
            <w:tcW w:type="dxa" w:w="249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Lab Logbook</w:t>
            </w:r>
          </w:p>
        </w:tc>
        <w:tc>
          <w:tcPr>
            <w:tcW w:type="dxa" w:w="249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SA / Syrup / Stoppage</w:t>
            </w:r>
          </w:p>
        </w:tc>
        <w:tc>
          <w:tcPr>
            <w:tcW w:type="dxa" w:w="249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sa_logbook, syrp_logbook, stoppage_logbook</w:t>
            </w:r>
          </w:p>
        </w:tc>
        <w:tc>
          <w:tcPr>
            <w:tcW w:type="dxa" w:w="249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None (no BI dashboard)</w:t>
            </w:r>
          </w:p>
        </w:tc>
      </w:tr>
      <w:tr>
        <w:tc>
          <w:tcPr>
            <w:tcW w:type="dxa" w:w="249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Power Logbook</w:t>
            </w:r>
          </w:p>
        </w:tc>
        <w:tc>
          <w:tcPr>
            <w:tcW w:type="dxa" w:w="249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Power Details</w:t>
            </w:r>
          </w:p>
        </w:tc>
        <w:tc>
          <w:tcPr>
            <w:tcW w:type="dxa" w:w="249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ph_power</w:t>
            </w:r>
          </w:p>
        </w:tc>
        <w:tc>
          <w:tcPr>
            <w:tcW w:type="dxa" w:w="249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Power House + Management Power row</w:t>
            </w:r>
          </w:p>
        </w:tc>
      </w:tr>
      <w:tr>
        <w:tc>
          <w:tcPr>
            <w:tcW w:type="dxa" w:w="249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Power Logbook</w:t>
            </w:r>
          </w:p>
        </w:tc>
        <w:tc>
          <w:tcPr>
            <w:tcW w:type="dxa" w:w="249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Steam Details</w:t>
            </w:r>
          </w:p>
        </w:tc>
        <w:tc>
          <w:tcPr>
            <w:tcW w:type="dxa" w:w="249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ph_steam</w:t>
            </w:r>
          </w:p>
        </w:tc>
        <w:tc>
          <w:tcPr>
            <w:tcW w:type="dxa" w:w="249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Power House + Management Power row</w:t>
            </w:r>
          </w:p>
        </w:tc>
      </w:tr>
      <w:tr>
        <w:tc>
          <w:tcPr>
            <w:tcW w:type="dxa" w:w="249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Power Logbook</w:t>
            </w:r>
          </w:p>
        </w:tc>
        <w:tc>
          <w:tcPr>
            <w:tcW w:type="dxa" w:w="249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Stoppage Details</w:t>
            </w:r>
          </w:p>
        </w:tc>
        <w:tc>
          <w:tcPr>
            <w:tcW w:type="dxa" w:w="249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ph_stoppage</w:t>
            </w:r>
          </w:p>
        </w:tc>
        <w:tc>
          <w:tcPr>
            <w:tcW w:type="dxa" w:w="249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Power House Outage only</w:t>
            </w:r>
          </w:p>
        </w:tc>
      </w:tr>
      <w:tr>
        <w:tc>
          <w:tcPr>
            <w:tcW w:type="dxa" w:w="249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Distillery Operations</w:t>
            </w:r>
          </w:p>
        </w:tc>
        <w:tc>
          <w:tcPr>
            <w:tcW w:type="dxa" w:w="249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Distillery Operations Form</w:t>
            </w:r>
          </w:p>
        </w:tc>
        <w:tc>
          <w:tcPr>
            <w:tcW w:type="dxa" w:w="249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distillery_operations</w:t>
            </w:r>
          </w:p>
        </w:tc>
        <w:tc>
          <w:tcPr>
            <w:tcW w:type="dxa" w:w="249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Distillery + Management Distillery row</w:t>
            </w:r>
          </w:p>
        </w:tc>
      </w:tr>
      <w:tr>
        <w:tc>
          <w:tcPr>
            <w:tcW w:type="dxa" w:w="249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Brix Sampling Forms</w:t>
            </w:r>
          </w:p>
        </w:tc>
        <w:tc>
          <w:tcPr>
            <w:tcW w:type="dxa" w:w="249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Yard Brix</w:t>
            </w:r>
          </w:p>
        </w:tc>
        <w:tc>
          <w:tcPr>
            <w:tcW w:type="dxa" w:w="249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brix_yard_sampling</w:t>
            </w:r>
          </w:p>
        </w:tc>
        <w:tc>
          <w:tcPr>
            <w:tcW w:type="dxa" w:w="249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Cane Quality — Yard</w:t>
            </w:r>
          </w:p>
        </w:tc>
      </w:tr>
      <w:tr>
        <w:tc>
          <w:tcPr>
            <w:tcW w:type="dxa" w:w="249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Brix Sampling Forms</w:t>
            </w:r>
          </w:p>
        </w:tc>
        <w:tc>
          <w:tcPr>
            <w:tcW w:type="dxa" w:w="249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Field Brix</w:t>
            </w:r>
          </w:p>
        </w:tc>
        <w:tc>
          <w:tcPr>
            <w:tcW w:type="dxa" w:w="249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brix_field_sampling</w:t>
            </w:r>
          </w:p>
        </w:tc>
        <w:tc>
          <w:tcPr>
            <w:tcW w:type="dxa" w:w="249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Cane Quality — Field</w:t>
            </w:r>
          </w:p>
        </w:tc>
      </w:tr>
      <w:tr>
        <w:tc>
          <w:tcPr>
            <w:tcW w:type="dxa" w:w="249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EHS (all five)</w:t>
            </w:r>
          </w:p>
        </w:tc>
        <w:tc>
          <w:tcPr>
            <w:tcW w:type="dxa" w:w="249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Near miss, GWA, ETP, CPU, Toolbox</w:t>
            </w:r>
          </w:p>
        </w:tc>
        <w:tc>
          <w:tcPr>
            <w:tcW w:type="dxa" w:w="249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ehs_*</w:t>
            </w:r>
          </w:p>
        </w:tc>
        <w:tc>
          <w:tcPr>
            <w:tcW w:type="dxa" w:w="249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None (no BI dashboard)</w:t>
            </w:r>
          </w:p>
        </w:tc>
      </w:tr>
      <w:tr>
        <w:tc>
          <w:tcPr>
            <w:tcW w:type="dxa" w:w="249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Production (all five)</w:t>
            </w:r>
          </w:p>
        </w:tc>
        <w:tc>
          <w:tcPr>
            <w:tcW w:type="dxa" w:w="249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Chemist, centrifugal, pan, decanter, clarification</w:t>
            </w:r>
          </w:p>
        </w:tc>
        <w:tc>
          <w:tcPr>
            <w:tcW w:type="dxa" w:w="249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prod_*</w:t>
            </w:r>
          </w:p>
        </w:tc>
        <w:tc>
          <w:tcPr>
            <w:tcW w:type="dxa" w:w="249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None (no BI dashboard)</w:t>
            </w:r>
          </w:p>
        </w:tc>
      </w:tr>
    </w:tbl>
    <w:p>
      <w:pPr>
        <w:spacing w:before="0" w:after="200" w:lineRule="auto" w:line="259"/>
      </w:pPr>
    </w:p>
    <w:p>
      <w:pPr>
        <w:pStyle w:val="Heading2"/>
        <w:spacing w:before="200" w:after="120"/>
      </w:pPr>
      <w:r>
        <w:rPr>
          <w:rFonts w:ascii="Calibri" w:hAnsi="Calibri"/>
          <w:b/>
          <w:color w:val="1E3A5F"/>
          <w:sz w:val="28"/>
        </w:rPr>
        <w:t>Upload and import connectivity (no form)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Input</w:t>
            </w:r>
          </w:p>
        </w:tc>
        <w:tc>
          <w:tcPr>
            <w:tcW w:type="dxa" w:w="3324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Tables</w:t>
            </w:r>
          </w:p>
        </w:tc>
        <w:tc>
          <w:tcPr>
            <w:tcW w:type="dxa" w:w="3324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Dashboards</w:t>
            </w:r>
          </w:p>
        </w:tc>
      </w:tr>
      <w:tr>
        <w:tc>
          <w:tcPr>
            <w:tcW w:type="dxa" w:w="3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Data Upload — Grower Intelligence</w:t>
            </w:r>
          </w:p>
        </w:tc>
        <w:tc>
          <w:tcPr>
            <w:tcW w:type="dxa" w:w="3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purchy_* (+ view purchy_grower_summary_v)</w:t>
            </w:r>
          </w:p>
        </w:tc>
        <w:tc>
          <w:tcPr>
            <w:tcW w:type="dxa" w:w="3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Grower Intelligence; Yard Brix enrich</w:t>
            </w:r>
          </w:p>
        </w:tc>
      </w:tr>
      <w:tr>
        <w:tc>
          <w:tcPr>
            <w:tcW w:type="dxa" w:w="33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Data Upload — Centre Indent &amp; Purchase</w:t>
            </w:r>
          </w:p>
        </w:tc>
        <w:tc>
          <w:tcPr>
            <w:tcW w:type="dxa" w:w="33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centre_indent_data, centre_purchase_data</w:t>
            </w:r>
          </w:p>
        </w:tc>
        <w:tc>
          <w:tcPr>
            <w:tcW w:type="dxa" w:w="33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Management Cane; Centre Maturity</w:t>
            </w:r>
          </w:p>
        </w:tc>
      </w:tr>
      <w:tr>
        <w:tc>
          <w:tcPr>
            <w:tcW w:type="dxa" w:w="3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Data Upload — DMR</w:t>
            </w:r>
          </w:p>
        </w:tc>
        <w:tc>
          <w:tcPr>
            <w:tcW w:type="dxa" w:w="3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dmr_daily</w:t>
            </w:r>
          </w:p>
        </w:tc>
        <w:tc>
          <w:tcPr>
            <w:tcW w:type="dxa" w:w="3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Management (calendar + mill/sugar KPIs)</w:t>
            </w:r>
          </w:p>
        </w:tc>
      </w:tr>
      <w:tr>
        <w:tc>
          <w:tcPr>
            <w:tcW w:type="dxa" w:w="33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Data Upload — Milling mappings</w:t>
            </w:r>
          </w:p>
        </w:tc>
        <w:tc>
          <w:tcPr>
            <w:tcW w:type="dxa" w:w="33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data_mill / shredder / lube _mapping</w:t>
            </w:r>
          </w:p>
        </w:tc>
        <w:tc>
          <w:tcPr>
            <w:tcW w:type="dxa" w:w="33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Milling thermal tabs (labels only)</w:t>
            </w:r>
          </w:p>
        </w:tc>
      </w:tr>
      <w:tr>
        <w:tc>
          <w:tcPr>
            <w:tcW w:type="dxa" w:w="3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CLI cane Excel import</w:t>
            </w:r>
          </w:p>
        </w:tc>
        <w:tc>
          <w:tcPr>
            <w:tcW w:type="dxa" w:w="3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g_ctc, cnt_performance</w:t>
            </w:r>
          </w:p>
        </w:tc>
        <w:tc>
          <w:tcPr>
            <w:tcW w:type="dxa" w:w="3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Cane Operations only</w:t>
            </w:r>
          </w:p>
        </w:tc>
      </w:tr>
    </w:tbl>
    <w:p>
      <w:pPr>
        <w:spacing w:before="0" w:after="200" w:lineRule="auto" w:line="259"/>
      </w:pPr>
    </w:p>
    <w:p>
      <w:pPr>
        <w:pStyle w:val="Heading2"/>
        <w:spacing w:before="200" w:after="120"/>
      </w:pPr>
      <w:r>
        <w:rPr>
          <w:rFonts w:ascii="Calibri" w:hAnsi="Calibri"/>
          <w:b/>
          <w:color w:val="1E3A5F"/>
          <w:sz w:val="28"/>
        </w:rPr>
        <w:t>Cross-dashboard reuse (same tables, two screens)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Shared tables</w:t>
            </w:r>
          </w:p>
        </w:tc>
        <w:tc>
          <w:tcPr>
            <w:tcW w:type="dxa" w:w="4986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Used by</w:t>
            </w:r>
          </w:p>
        </w:tc>
      </w:tr>
      <w:tr>
        <w:tc>
          <w:tcPr>
            <w:tcW w:type="dxa" w:w="498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centre_indent_data + centre_purchase_data</w:t>
            </w:r>
          </w:p>
        </w:tc>
        <w:tc>
          <w:tcPr>
            <w:tcW w:type="dxa" w:w="498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Management Overview (Cane) and Centre Maturity</w:t>
            </w:r>
          </w:p>
        </w:tc>
      </w:tr>
      <w:tr>
        <w:tc>
          <w:tcPr>
            <w:tcW w:type="dxa" w:w="498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ph_power + ph_steam</w:t>
            </w:r>
          </w:p>
        </w:tc>
        <w:tc>
          <w:tcPr>
            <w:tcW w:type="dxa" w:w="498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Power House and Management Power row</w:t>
            </w:r>
          </w:p>
        </w:tc>
      </w:tr>
      <w:tr>
        <w:tc>
          <w:tcPr>
            <w:tcW w:type="dxa" w:w="498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distillery_operations</w:t>
            </w:r>
          </w:p>
        </w:tc>
        <w:tc>
          <w:tcPr>
            <w:tcW w:type="dxa" w:w="498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Distillery Operations and Management Distillery row</w:t>
            </w:r>
          </w:p>
        </w:tc>
      </w:tr>
      <w:tr>
        <w:tc>
          <w:tcPr>
            <w:tcW w:type="dxa" w:w="498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ops_logbook + ds_logbook (+ rs_logbook) + dmr_daily</w:t>
            </w:r>
          </w:p>
        </w:tc>
        <w:tc>
          <w:tcPr>
            <w:tcW w:type="dxa" w:w="498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Management mill/sugar (and cane yard/pol)</w:t>
            </w:r>
          </w:p>
        </w:tc>
      </w:tr>
      <w:tr>
        <w:tc>
          <w:tcPr>
            <w:tcW w:type="dxa" w:w="498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purchy_grower_summary / purchy_supply</w:t>
            </w:r>
          </w:p>
        </w:tc>
        <w:tc>
          <w:tcPr>
            <w:tcW w:type="dxa" w:w="498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Grower Intelligence and Cane Quality (Yard) enrich</w:t>
            </w:r>
          </w:p>
        </w:tc>
      </w:tr>
      <w:tr>
        <w:tc>
          <w:tcPr>
            <w:tcW w:type="dxa" w:w="498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season_mapping</w:t>
            </w:r>
          </w:p>
        </w:tc>
        <w:tc>
          <w:tcPr>
            <w:tcW w:type="dxa" w:w="498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Every cockpit date/compare chip</w:t>
            </w:r>
          </w:p>
        </w:tc>
      </w:tr>
    </w:tbl>
    <w:p>
      <w:pPr>
        <w:spacing w:before="0" w:after="200" w:lineRule="auto" w:line="259"/>
      </w:pPr>
    </w:p>
    <w:p>
      <w:pPr>
        <w:pStyle w:val="Heading1"/>
        <w:pageBreakBefore/>
        <w:spacing w:before="320" w:after="160"/>
      </w:pPr>
      <w:r>
        <w:rPr>
          <w:rFonts w:ascii="Calibri" w:hAnsi="Calibri"/>
          <w:b/>
          <w:color w:val="1E3A5F"/>
          <w:sz w:val="40"/>
        </w:rPr>
        <w:t>6. Modules that do not feed BI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>These are operational systems in MySQL with their own APIs. They do not populate BI Control Tower KPIs.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3324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Typical tables / APIs</w:t>
            </w:r>
          </w:p>
        </w:tc>
        <w:tc>
          <w:tcPr>
            <w:tcW w:type="dxa" w:w="3324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Connects to</w:t>
            </w:r>
          </w:p>
        </w:tc>
      </w:tr>
      <w:tr>
        <w:tc>
          <w:tcPr>
            <w:tcW w:type="dxa" w:w="3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Power / Sugar equipment hierarchy</w:t>
            </w:r>
          </w:p>
        </w:tc>
        <w:tc>
          <w:tcPr>
            <w:tcW w:type="dxa" w:w="3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Hierarchy + specs + maintenance history APIs</w:t>
            </w:r>
          </w:p>
        </w:tc>
        <w:tc>
          <w:tcPr>
            <w:tcW w:type="dxa" w:w="3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Approvals (MH queue) if HOD enabled; not BI</w:t>
            </w:r>
          </w:p>
        </w:tc>
      </w:tr>
      <w:tr>
        <w:tc>
          <w:tcPr>
            <w:tcW w:type="dxa" w:w="33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Production House equipment</w:t>
            </w:r>
          </w:p>
        </w:tc>
        <w:tc>
          <w:tcPr>
            <w:tcW w:type="dxa" w:w="33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Production equipment cards + history</w:t>
            </w:r>
          </w:p>
        </w:tc>
        <w:tc>
          <w:tcPr>
            <w:tcW w:type="dxa" w:w="33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Approvals (MH) if enabled; not BI</w:t>
            </w:r>
          </w:p>
        </w:tc>
      </w:tr>
      <w:tr>
        <w:tc>
          <w:tcPr>
            <w:tcW w:type="dxa" w:w="3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Maintenance Notes</w:t>
            </w:r>
          </w:p>
        </w:tc>
        <w:tc>
          <w:tcPr>
            <w:tcW w:type="dxa" w:w="3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maintenance notes register</w:t>
            </w:r>
          </w:p>
        </w:tc>
        <w:tc>
          <w:tcPr>
            <w:tcW w:type="dxa" w:w="3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Approvals → Maintenance Notes tab; plant lock from employee category</w:t>
            </w:r>
          </w:p>
        </w:tc>
      </w:tr>
      <w:tr>
        <w:tc>
          <w:tcPr>
            <w:tcW w:type="dxa" w:w="33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Approvals + email tokens</w:t>
            </w:r>
          </w:p>
        </w:tc>
        <w:tc>
          <w:tcPr>
            <w:tcW w:type="dxa" w:w="33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form / MH / notes request queues</w:t>
            </w:r>
          </w:p>
        </w:tc>
        <w:tc>
          <w:tcPr>
            <w:tcW w:type="dxa" w:w="33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Gates official form/history/note completion; does not write dashboard facts except by allowing form rows to stand</w:t>
            </w:r>
          </w:p>
        </w:tc>
      </w:tr>
      <w:tr>
        <w:tc>
          <w:tcPr>
            <w:tcW w:type="dxa" w:w="3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Audit &amp; Activity</w:t>
            </w:r>
          </w:p>
        </w:tc>
        <w:tc>
          <w:tcPr>
            <w:tcW w:type="dxa" w:w="3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audit / session activity</w:t>
            </w:r>
          </w:p>
        </w:tc>
        <w:tc>
          <w:tcPr>
            <w:tcW w:type="dxa" w:w="3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Admin Config only</w:t>
            </w:r>
          </w:p>
        </w:tc>
      </w:tr>
      <w:tr>
        <w:tc>
          <w:tcPr>
            <w:tcW w:type="dxa" w:w="33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EHS and Production logbooks</w:t>
            </w:r>
          </w:p>
        </w:tc>
        <w:tc>
          <w:tcPr>
            <w:tcW w:type="dxa" w:w="33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ehs_* / prod_*</w:t>
            </w:r>
          </w:p>
        </w:tc>
        <w:tc>
          <w:tcPr>
            <w:tcW w:type="dxa" w:w="33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59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Forms Hub only — no dashboard in BI hub</w:t>
            </w:r>
          </w:p>
        </w:tc>
      </w:tr>
    </w:tbl>
    <w:p>
      <w:pPr>
        <w:spacing w:before="0" w:after="200" w:lineRule="auto" w:line="259"/>
      </w:pPr>
    </w:p>
    <w:p>
      <w:pPr>
        <w:pStyle w:val="Heading1"/>
        <w:pageBreakBefore/>
        <w:spacing w:before="320" w:after="160"/>
      </w:pPr>
      <w:r>
        <w:rPr>
          <w:rFonts w:ascii="Calibri" w:hAnsi="Calibri"/>
          <w:b/>
          <w:color w:val="1E3A5F"/>
          <w:sz w:val="40"/>
        </w:rPr>
        <w:t>7. Known gaps</w:t>
      </w:r>
    </w:p>
    <w:p>
      <w:pPr>
        <w:pStyle w:val="ListBullet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>Cane Operations data is not loaded from Data Upload UI; plant process is the cane Excel CLI import.</w:t>
      </w:r>
    </w:p>
    <w:p>
      <w:pPr>
        <w:pStyle w:val="ListBullet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>Management has no mill-outage / ph_stoppage / EHS / Production facts.</w:t>
      </w:r>
    </w:p>
    <w:p>
      <w:pPr>
        <w:pStyle w:val="ListBullet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>Lab SA, Syrup, and Stoppage logbooks have no BI dashboard.</w:t>
      </w:r>
    </w:p>
    <w:p>
      <w:pPr>
        <w:pStyle w:val="ListBullet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>Milling thermal charts need both logbook submits and mapping xlsx; one without the other is incomplete.</w:t>
      </w:r>
    </w:p>
    <w:p>
      <w:pPr>
        <w:pStyle w:val="ListBullet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>Grower Intelligence and Cane Operations are separate cane worlds (purchy_* vs g_ctc / cnt_performance); they are not the same grain.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/>
          <w:color w:val="475569"/>
          <w:sz w:val="18"/>
        </w:rPr>
        <w:t>Evidence: backend FORM_CONFIG, bi.routes.js, biManagementDashboard.controller.js, canePerformanceMysql.js, bi.controller.js, biPowerHouse.controller.js, biPurchy + purchyPbiFacts.js, biCentreMaturity.controller.js, biBrixYard/Field.controller.js, data upload slot utils.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475569"/>
        <w:sz w:val="18"/>
      </w:rPr>
      <w:t xml:space="preserve">Internal  ·  Page </w:t>
    </w:r>
    <w: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Calibri"/>
        <w:b w:val="0"/>
        <w:i w:val="0"/>
        <w:color w:val="475569"/>
        <w:sz w:val="18"/>
      </w:rP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475569"/>
        <w:sz w:val="18"/>
      </w:rPr>
      <w:t>DigiLog v2  ·  Data sources and module connectivity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