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p>
    <w:p>
      <w:pPr>
        <w:spacing w:after="50" w:before="0"/>
        <w:jc w:val="center"/>
      </w:pPr>
      <w:r>
        <w:rPr>
          <w:rFonts w:ascii="Arial" w:cs="Arial" w:eastAsia="Arial" w:hAnsi="Arial"/>
          <w:b/>
          <w:bCs/>
          <w:i w:val="false"/>
          <w:iCs w:val="false"/>
          <w:color w:val="003366"/>
          <w:sz w:val="38"/>
          <w:szCs w:val="38"/>
        </w:rPr>
        <w:t xml:space="preserve">PROJECT SPECIFICATION DOCUMENT</w:t>
      </w:r>
    </w:p>
    <w:p>
      <w:pPr>
        <w:spacing w:after="30" w:before="50"/>
        <w:jc w:val="center"/>
      </w:pPr>
      <w:r>
        <w:rPr>
          <w:rFonts w:ascii="Arial" w:cs="Arial" w:eastAsia="Arial" w:hAnsi="Arial"/>
          <w:b/>
          <w:bCs/>
          <w:i w:val="false"/>
          <w:iCs w:val="false"/>
          <w:color w:val="9A7200"/>
          <w:sz w:val="28"/>
          <w:szCs w:val="28"/>
        </w:rPr>
        <w:t xml:space="preserve">Institutional Hybrid Quant Engine  —  IHQE v2.1</w:t>
      </w:r>
    </w:p>
    <w:p>
      <w:pPr>
        <w:spacing w:after="50" w:before="0"/>
        <w:jc w:val="center"/>
      </w:pPr>
      <w:r>
        <w:rPr>
          <w:rFonts w:ascii="Arial" w:cs="Arial" w:eastAsia="Arial" w:hAnsi="Arial"/>
          <w:b w:val="false"/>
          <w:bCs w:val="false"/>
          <w:i/>
          <w:iCs/>
          <w:color w:val="555555"/>
          <w:sz w:val="20"/>
          <w:szCs w:val="20"/>
        </w:rPr>
        <w:t xml:space="preserve">Recursive FVG Cascade  ·  Draw on Liquidity Double Trade  ·  Trade Signal Generation  ·  Microstructure Execution</w:t>
      </w:r>
    </w:p>
    <w:p>
      <w:pPr>
        <w:pBdr>
          <w:bottom w:val="single" w:color="003366" w:sz="8" w:space="1"/>
        </w:pBdr>
        <w:spacing w:after="80" w:before="8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Field</w:t>
            </w:r>
          </w:p>
        </w:tc>
        <w:tc>
          <w:tcPr>
            <w:tcW w:type="dxa" w:w="6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val="false"/>
                <w:bCs w:val="false"/>
                <w:i w:val="false"/>
                <w:iCs w:val="false"/>
                <w:color w:val="FFFFFF"/>
                <w:sz w:val="21"/>
                <w:szCs w:val="21"/>
              </w:rPr>
              <w:t xml:space="preserve">Detail</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System 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Institutional Hybrid Quant Engine (IHQE v2.1)</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Asset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Spot Gold CFD — XAU/USD  (Bi-directional: Long &amp; Short)</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Core Strategy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Multi-Timeframe FVG Nesting + Draw on Liquidity Double Trade</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Timeframes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12-Month → 3-Month → 1-Month → Weekly → 4-Hour → 1-Hour</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Trade Types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Primary Trade (macro direction)  +  Counter-Trend Trade (path to target)</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Signal Output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Advance signals days, weeks, or months before execution window</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Historical Data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Dukascopy — XAU/USD from 2003, 20+ years un-sampled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Live Data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Tiingo Forex &amp; Metals WebSocket — real-time Bid/Ask quote ticks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ClickHouse DBMS — column-oriented, sub-millisecond aggregation</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Dashboard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Python + Streamlit + Plotly — Ultimate Trading Dashboard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Infrastructure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Headless Ubuntu Linux VPS — cloud-hosted, always-on</w:t>
            </w:r>
          </w:p>
        </w:tc>
      </w:tr>
    </w:tbl>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1.  Executive Summary &amp; Core Goal</w:t>
      </w:r>
    </w:p>
    <w:p>
      <w:pPr>
        <w:pStyle w:val="Heading2"/>
        <w:spacing w:after="100" w:before="240"/>
      </w:pPr>
      <w:r>
        <w:rPr>
          <w:rFonts w:ascii="Arial" w:cs="Arial" w:eastAsia="Arial" w:hAnsi="Arial"/>
          <w:b/>
          <w:bCs/>
          <w:i w:val="false"/>
          <w:iCs w:val="false"/>
          <w:color w:val="003366"/>
          <w:sz w:val="26"/>
          <w:szCs w:val="26"/>
        </w:rPr>
        <w:t xml:space="preserve">1.1  What We Are Building</w:t>
      </w:r>
    </w:p>
    <w:p>
      <w:pPr>
        <w:spacing w:after="100" w:before="80"/>
        <w:jc w:val="left"/>
      </w:pPr>
      <w:r>
        <w:rPr>
          <w:rFonts w:ascii="Arial" w:cs="Arial" w:eastAsia="Arial" w:hAnsi="Arial"/>
          <w:b w:val="false"/>
          <w:bCs w:val="false"/>
          <w:i w:val="false"/>
          <w:iCs w:val="false"/>
          <w:color w:val="222222"/>
          <w:sz w:val="22"/>
          <w:szCs w:val="22"/>
        </w:rPr>
        <w:t xml:space="preserve">The Institutional Hybrid Quant Engine (IHQE) is a fully automated algorithmic trading platform and ultimate trading dashboard for Spot Gold CFDs. It eliminates the two fundamental bottlenecks of manual multi-timeframe analysis: the hours required to map structural levels across six timeframes, and the execution lag that causes traders to miss optimal entries by waiting for candle closes.</w:t>
      </w:r>
    </w:p>
    <w:p>
      <w:pPr>
        <w:spacing w:after="80" w:before="80"/>
        <w:jc w:val="left"/>
      </w:pPr>
      <w:r>
        <w:rPr>
          <w:rFonts w:ascii="Arial" w:cs="Arial" w:eastAsia="Arial" w:hAnsi="Arial"/>
          <w:b w:val="false"/>
          <w:bCs w:val="false"/>
          <w:i w:val="false"/>
          <w:iCs w:val="false"/>
          <w:color w:val="222222"/>
          <w:sz w:val="22"/>
          <w:szCs w:val="22"/>
        </w:rPr>
        <w:t xml:space="preserve">The platform operates as four tightly integrated layers:</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The Macro Core — Recursive FVG Cascade Engine: Scans six timeframes from 12-Month down to 1-Hour, detects Fair Value Gaps, and draws Fibonacci grids automatically — from the start of price history (2003) to the current live bar. Both bullish and bearish directions are mapped.</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The Draw on Liquidity Engine — Double Trade Detector: When a macro primary grid identifies a target destination (the 0.5 level), the system simultaneously applies the same FVG cascade rules in the opposite direction to the retracement path. This generates a counter-trend entry before the primary trade, producing two profits from one structural setup.</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The Signal Engine — Advance Trade Alert System: Generates confirmed Long, Short, and Double Trade signals days, weeks, or months before the entry window opens, using the complete historical state map as structural evidence.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The Micro Core — Order-Flow Sniper: Activates when price enters the final discount or premium zone on the 1-Hour chart. Processes real-time quote ticks to detect institutional absorption and fires the entry at the precise reversal millisecond.</w:t>
      </w:r>
    </w:p>
    <w:p>
      <w:pPr>
        <w:spacing w:after="100" w:before="0"/>
      </w:pPr>
    </w:p>
    <w:p>
      <w:pPr>
        <w:pStyle w:val="Heading2"/>
        <w:spacing w:after="100" w:before="240"/>
      </w:pPr>
      <w:r>
        <w:rPr>
          <w:rFonts w:ascii="Arial" w:cs="Arial" w:eastAsia="Arial" w:hAnsi="Arial"/>
          <w:b/>
          <w:bCs/>
          <w:i w:val="false"/>
          <w:iCs w:val="false"/>
          <w:color w:val="003366"/>
          <w:sz w:val="26"/>
          <w:szCs w:val="26"/>
        </w:rPr>
        <w:t xml:space="preserve">1.2  The Problem Being Solved</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Time Cost: Marking Fibonacci grids across six timeframes for every structural leg since 2003 is hours of manual work per session.</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Execution Lag: Waiting for candle closes causes traders to miss the optimal entry price at the bottom or top of the wick.</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Signal Blindness: Without a historical state map, setups forming weeks in advance are invisible until the last moment.</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Missed Double Trade: The counter-trend opportunity on the path to the primary target is invisible unless both Fibonacci grids are drawn and aligned simultaneously. Most traders see only the primary setup and leave the counter-trend profit on the table.</w:t>
      </w:r>
    </w:p>
    <w:p>
      <w:pPr>
        <w:spacing w:after="80" w:before="0"/>
      </w:pPr>
    </w:p>
    <w:p>
      <w:pPr>
        <w:spacing w:after="100" w:before="80"/>
        <w:jc w:val="left"/>
      </w:pPr>
      <w:r>
        <w:rPr>
          <w:rFonts w:ascii="Arial" w:cs="Arial" w:eastAsia="Arial" w:hAnsi="Arial"/>
          <w:b w:val="false"/>
          <w:bCs w:val="false"/>
          <w:i w:val="false"/>
          <w:iCs w:val="false"/>
          <w:color w:val="222222"/>
          <w:sz w:val="22"/>
          <w:szCs w:val="22"/>
        </w:rPr>
        <w:t xml:space="preserve">The IHQE eliminates all four. The platform auto-generates the complete historical map every session, detects both the primary and counter-trend trade simultaneously, publishes advance signals, and executes entries in milliseconds.</w:t>
      </w: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2.  Core Trading Strategy — Precise Specification</w:t>
      </w:r>
    </w:p>
    <w:p>
      <w:pPr>
        <w:pStyle w:val="Heading2"/>
        <w:spacing w:after="100" w:before="240"/>
      </w:pPr>
      <w:r>
        <w:rPr>
          <w:rFonts w:ascii="Arial" w:cs="Arial" w:eastAsia="Arial" w:hAnsi="Arial"/>
          <w:b/>
          <w:bCs/>
          <w:i w:val="false"/>
          <w:iCs w:val="false"/>
          <w:color w:val="003366"/>
          <w:sz w:val="26"/>
          <w:szCs w:val="26"/>
        </w:rPr>
        <w:t xml:space="preserve">2.1  The Golden Rule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03366" w:sz="1"/>
              <w:left w:val="single" w:color="003366" w:sz="1"/>
              <w:bottom w:val="single" w:color="003366" w:sz="1"/>
              <w:right w:val="none" w:color="FFFFFF" w:sz="0"/>
            </w:tcBorders>
            <w:shd w:fill="003366" w:val="clear"/>
            <w:tcMar>
              <w:top w:type="dxa" w:w="120"/>
              <w:left w:type="dxa" w:w="160"/>
              <w:bottom w:type="dxa" w:w="120"/>
              <w:right w:type="dxa" w:w="160"/>
            </w:tcMar>
            <w:vAlign w:val="center"/>
          </w:tcPr>
          <w:p>
            <w:pPr>
              <w:jc w:val="center"/>
            </w:pPr>
            <w:r>
              <w:rPr>
                <w:rFonts w:ascii="Arial" w:cs="Arial" w:eastAsia="Arial" w:hAnsi="Arial"/>
                <w:b/>
                <w:bCs/>
                <w:i w:val="false"/>
                <w:iCs w:val="false"/>
                <w:color w:val="FFFFFF"/>
                <w:sz w:val="20"/>
                <w:szCs w:val="20"/>
              </w:rPr>
              <w:t xml:space="preserve">RULE</w:t>
            </w:r>
          </w:p>
        </w:tc>
        <w:tc>
          <w:tcPr>
            <w:tcW w:type="dxa" w:w="7920"/>
            <w:tcBorders>
              <w:top w:val="single" w:color="003366" w:sz="1"/>
              <w:left w:val="none" w:color="FFFFFF" w:sz="0"/>
              <w:bottom w:val="single" w:color="003366" w:sz="1"/>
              <w:right w:val="single" w:color="003366" w:sz="1"/>
            </w:tcBorders>
            <w:shd w:fill="F2F4F7" w:val="clear"/>
            <w:tcMar>
              <w:top w:type="dxa" w:w="120"/>
              <w:left w:type="dxa" w:w="200"/>
              <w:bottom w:type="dxa" w:w="120"/>
              <w:right w:type="dxa" w:w="200"/>
            </w:tcMar>
          </w:tcPr>
          <w:p>
            <w:r>
              <w:rPr>
                <w:rFonts w:ascii="Arial" w:cs="Arial" w:eastAsia="Arial" w:hAnsi="Arial"/>
                <w:b w:val="false"/>
                <w:bCs w:val="false"/>
                <w:i/>
                <w:iCs/>
                <w:color w:val="222222"/>
                <w:sz w:val="22"/>
                <w:szCs w:val="22"/>
              </w:rPr>
              <w:t xml:space="preserve">"No FVG, No Fibonacci." A Fibonacci grid is drawn on a given timeframe only after a valid Fair Value Gap forms inside the discount or premium zone on that timeframe. This rule applies equally to primary macro grids and counter-trend grids. No exceptions.</w:t>
            </w:r>
          </w:p>
        </w:tc>
      </w:tr>
    </w:tbl>
    <w:p>
      <w:pPr>
        <w:spacing w:after="120" w:before="0"/>
      </w:pPr>
    </w:p>
    <w:p>
      <w:pPr>
        <w:pStyle w:val="Heading2"/>
        <w:spacing w:after="100" w:before="240"/>
      </w:pPr>
      <w:r>
        <w:rPr>
          <w:rFonts w:ascii="Arial" w:cs="Arial" w:eastAsia="Arial" w:hAnsi="Arial"/>
          <w:b/>
          <w:bCs/>
          <w:i w:val="false"/>
          <w:iCs w:val="false"/>
          <w:color w:val="003366"/>
          <w:sz w:val="26"/>
          <w:szCs w:val="26"/>
        </w:rPr>
        <w:t xml:space="preserve">2.2  Exact FVG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Rule</w:t>
            </w:r>
          </w:p>
        </w:tc>
        <w:tc>
          <w:tcPr>
            <w:tcW w:type="dxa" w:w="6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val="false"/>
                <w:bCs w:val="false"/>
                <w:i w:val="false"/>
                <w:iCs w:val="false"/>
                <w:color w:val="FFFFFF"/>
                <w:sz w:val="21"/>
                <w:szCs w:val="21"/>
              </w:rPr>
              <w:t xml:space="preserve">Specification</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Pattern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3-candle continuation sequence</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Condition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High of Candle 1 does NOT overlap with Low of Candle 3</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Mathematics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Bullish FVG: Low(C3) &gt; High(C1)   |   Bearish FVG: High(C3) &lt; Low(C1)</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Minimum Gap Size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Any gap qualifies — even one tick of separation is sufficient</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Candle Close Rule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Intrabar — FVG confirmed the moment the gap exists, no close required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Wick Rule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3 continuation candles required — lows (bullish) or highs (bearish) must NOT sweep</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Multiple FVGs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First FVG on that timeframe takes priority — the Extreme FVG</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2.3  Fibonacci Anchor Points</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Point A — Swing Low (Bullish grid): The exact level where price exited the previous discount zone and broke market structure (BOS) upward. The start of the institutional expansion leg.</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Point B — Swing High (Bullish grid): The next significant structural high produced after the Break of Structure. The peak of the expansion leg.</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Reversed for Bearish grids: Point A = structural high after a bearish BOS. Point B = next significant structural low.</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Discount Zone (Long): Price below 0.5. Sniper Zone: 0.5 to 0.618.</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Premium Zone (Short): Price above 0.5. Sniper Zone: 0.5 to 0.382.</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Zone Entry Trigger: Intrabar — activates the moment live price ticks into the zone, no candle close required.</w:t>
      </w:r>
    </w:p>
    <w:p>
      <w:pPr>
        <w:spacing w:after="140" w:before="0"/>
      </w:pPr>
    </w:p>
    <w:p>
      <w:pPr>
        <w:pStyle w:val="Heading2"/>
        <w:spacing w:after="100" w:before="240"/>
      </w:pPr>
      <w:r>
        <w:rPr>
          <w:rFonts w:ascii="Arial" w:cs="Arial" w:eastAsia="Arial" w:hAnsi="Arial"/>
          <w:b/>
          <w:bCs/>
          <w:i w:val="false"/>
          <w:iCs w:val="false"/>
          <w:color w:val="003366"/>
          <w:sz w:val="26"/>
          <w:szCs w:val="26"/>
        </w:rPr>
        <w:t xml:space="preserve">2.4  The Six-Timeframe Primary Cascade</w:t>
      </w:r>
    </w:p>
    <w:p>
      <w:pPr>
        <w:spacing w:after="120" w:before="80"/>
        <w:jc w:val="left"/>
      </w:pPr>
      <w:r>
        <w:rPr>
          <w:rFonts w:ascii="Arial" w:cs="Arial" w:eastAsia="Arial" w:hAnsi="Arial"/>
          <w:b w:val="false"/>
          <w:bCs w:val="false"/>
          <w:i w:val="false"/>
          <w:iCs w:val="false"/>
          <w:color w:val="222222"/>
          <w:sz w:val="22"/>
          <w:szCs w:val="22"/>
        </w:rPr>
        <w:t xml:space="preserve">The primary macro trade uses a strict top-down Recursive Nesting Algorithm. Each timeframe is an independent validation gate. No lower timeframe is analysed until the gate above it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3240"/>
        <w:gridCol w:w="4140"/>
      </w:tblGrid>
      <w:tr>
        <w:tc>
          <w:tcPr>
            <w:tcW w:type="dxa" w:w="5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1"/>
                <w:szCs w:val="21"/>
              </w:rPr>
              <w:t xml:space="preserve">Step</w:t>
            </w:r>
          </w:p>
        </w:tc>
        <w:tc>
          <w:tcPr>
            <w:tcW w:type="dxa" w:w="14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Timeframe</w:t>
            </w:r>
          </w:p>
        </w:tc>
        <w:tc>
          <w:tcPr>
            <w:tcW w:type="dxa" w:w="3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Condition Required</w:t>
            </w:r>
          </w:p>
        </w:tc>
        <w:tc>
          <w:tcPr>
            <w:tcW w:type="dxa" w:w="41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Action on Confirmation</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1</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12-Month</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Determine macro trend. Price ticks below 0.5 (Long) or above 0.5 (Short).</w:t>
            </w:r>
          </w:p>
        </w:tc>
        <w:tc>
          <w:tcPr>
            <w:tcW w:type="dxa" w:w="4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Do NOT draw Fib yet. Monitor inside zone for FVG formation.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3-Month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inside 12M zone. Wait for first (Extreme) FVG on 3M chart.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FVG confirmed → Draw Fib from 3M structural leg (post-BOS) low to high. Switch to 1-Month.</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3</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1-Month</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inside 3M zone. Wait for first FVG on 1M chart.</w:t>
            </w:r>
          </w:p>
        </w:tc>
        <w:tc>
          <w:tcPr>
            <w:tcW w:type="dxa" w:w="4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FVG confirmed → Draw 1M Fibonacci grid. Switch to Weekly.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Weekly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inside 1M zone. Wait for first FVG on Weekly chart.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FVG confirmed → Draw Weekly Fibonacci grid. Switch to 4-Hour.</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5</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4-Hour</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inside Weekly zone. Wait for first FVG on 4H chart.</w:t>
            </w:r>
          </w:p>
        </w:tc>
        <w:tc>
          <w:tcPr>
            <w:tcW w:type="dxa" w:w="41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FVG confirmed → Draw 4H Fibonacci grid. Switch to 1-Hour.</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1-Hour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inside 4H zone. Wait for first FVG on 1H chart.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FVG confirmed → Draw 1H grid. Activate Sniper Engine when price enters 0.5–0.618 (Long) or 0.5–0.382 (Short).</w:t>
            </w:r>
          </w:p>
        </w:tc>
      </w:tr>
    </w:tbl>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3.  Draw on Liquidity — The Double Trade</w:t>
      </w:r>
    </w:p>
    <w:p>
      <w:pPr>
        <w:pStyle w:val="Heading2"/>
        <w:spacing w:after="100" w:before="240"/>
      </w:pPr>
      <w:r>
        <w:rPr>
          <w:rFonts w:ascii="Arial" w:cs="Arial" w:eastAsia="Arial" w:hAnsi="Arial"/>
          <w:b/>
          <w:bCs/>
          <w:i w:val="false"/>
          <w:iCs w:val="false"/>
          <w:color w:val="003366"/>
          <w:sz w:val="26"/>
          <w:szCs w:val="26"/>
        </w:rPr>
        <w:t xml:space="preserve">3.1  The Core Concept</w:t>
      </w:r>
    </w:p>
    <w:p>
      <w:pPr>
        <w:spacing w:after="100" w:before="80"/>
        <w:jc w:val="left"/>
      </w:pPr>
      <w:r>
        <w:rPr>
          <w:rFonts w:ascii="Arial" w:cs="Arial" w:eastAsia="Arial" w:hAnsi="Arial"/>
          <w:b w:val="false"/>
          <w:bCs w:val="false"/>
          <w:i w:val="false"/>
          <w:iCs w:val="false"/>
          <w:color w:val="222222"/>
          <w:sz w:val="22"/>
          <w:szCs w:val="22"/>
        </w:rPr>
        <w:t xml:space="preserve">This is the most powerful feature of the strategy. When the macro primary cascade identifies a destination target — the 0.5 level of the macro Fibonacci grid — price does not travel there in a straight line. It retraces, creating its own structural legs on the way to that destination. These retracement legs are valid structural moves that can be traded independently using the exact same FVG cascade rules applied in the opposite direction.</w:t>
      </w:r>
    </w:p>
    <w:p>
      <w:pPr>
        <w:spacing w:after="80" w:before="80"/>
        <w:jc w:val="left"/>
      </w:pPr>
      <w:r>
        <w:rPr>
          <w:rFonts w:ascii="Arial" w:cs="Arial" w:eastAsia="Arial" w:hAnsi="Arial"/>
          <w:b w:val="false"/>
          <w:bCs w:val="false"/>
          <w:i w:val="false"/>
          <w:iCs w:val="false"/>
          <w:color w:val="222222"/>
          <w:sz w:val="22"/>
          <w:szCs w:val="22"/>
        </w:rPr>
        <w:t xml:space="preserve">The result is two confirmed, FVG-validated trades from a single macro structural setup:</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Trade 1 — Counter-Trend: Enter in the opposite direction of the macro bias to ride the retracement move toward the macro target zone.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Trade 2 — Primary: Exit the counter-trend trade at the macro 0.5 level and immediately reverse into the primary macro direction.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03366" w:sz="1"/>
              <w:left w:val="single" w:color="003366" w:sz="1"/>
              <w:bottom w:val="single" w:color="003366" w:sz="1"/>
              <w:right w:val="none" w:color="FFFFFF" w:sz="0"/>
            </w:tcBorders>
            <w:shd w:fill="003366" w:val="clear"/>
            <w:tcMar>
              <w:top w:type="dxa" w:w="120"/>
              <w:left w:type="dxa" w:w="160"/>
              <w:bottom w:type="dxa" w:w="120"/>
              <w:right w:type="dxa" w:w="160"/>
            </w:tcMar>
            <w:vAlign w:val="center"/>
          </w:tcPr>
          <w:p>
            <w:pPr>
              <w:jc w:val="center"/>
            </w:pPr>
            <w:r>
              <w:rPr>
                <w:rFonts w:ascii="Arial" w:cs="Arial" w:eastAsia="Arial" w:hAnsi="Arial"/>
                <w:b/>
                <w:bCs/>
                <w:i w:val="false"/>
                <w:iCs w:val="false"/>
                <w:color w:val="FFFFFF"/>
                <w:sz w:val="20"/>
                <w:szCs w:val="20"/>
              </w:rPr>
              <w:t xml:space="preserve">KEY INSIGHT</w:t>
            </w:r>
          </w:p>
        </w:tc>
        <w:tc>
          <w:tcPr>
            <w:tcW w:type="dxa" w:w="7920"/>
            <w:tcBorders>
              <w:top w:val="single" w:color="003366" w:sz="1"/>
              <w:left w:val="none" w:color="FFFFFF" w:sz="0"/>
              <w:bottom w:val="single" w:color="003366" w:sz="1"/>
              <w:right w:val="single" w:color="003366" w:sz="1"/>
            </w:tcBorders>
            <w:shd w:fill="F2F4F7" w:val="clear"/>
            <w:tcMar>
              <w:top w:type="dxa" w:w="120"/>
              <w:left w:type="dxa" w:w="200"/>
              <w:bottom w:type="dxa" w:w="120"/>
              <w:right w:type="dxa" w:w="200"/>
            </w:tcMar>
          </w:tcPr>
          <w:p>
            <w:r>
              <w:rPr>
                <w:rFonts w:ascii="Arial" w:cs="Arial" w:eastAsia="Arial" w:hAnsi="Arial"/>
                <w:b w:val="false"/>
                <w:bCs w:val="false"/>
                <w:i/>
                <w:iCs/>
                <w:color w:val="222222"/>
                <w:sz w:val="22"/>
                <w:szCs w:val="22"/>
              </w:rPr>
              <w:t xml:space="preserve">The macro primary Fibonacci tells the system WHERE price is being drawn. The counter-trend Fibonacci — drawn using identical FVG rules on the retracement — tells the system exactly WHERE to enter to ride that magnetic draw. Both grids are generated by the same algorithm. No separate logic required.</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3.2  How the Two Grids Align</w:t>
      </w:r>
    </w:p>
    <w:p>
      <w:pPr>
        <w:spacing w:after="100" w:before="80"/>
        <w:jc w:val="left"/>
      </w:pPr>
      <w:r>
        <w:rPr>
          <w:rFonts w:ascii="Arial" w:cs="Arial" w:eastAsia="Arial" w:hAnsi="Arial"/>
          <w:b w:val="false"/>
          <w:bCs w:val="false"/>
          <w:i w:val="false"/>
          <w:iCs w:val="false"/>
          <w:color w:val="222222"/>
          <w:sz w:val="22"/>
          <w:szCs w:val="22"/>
        </w:rPr>
        <w:t xml:space="preserve">The relationship between the primary and counter-trend grids is not coincidental — it is structural. The top of the counter-trend bullish grid (the bullish swing high) naturally approaches or aligns with the 0.5 level of the macro bearish grid. This is because both grids are anchored to the same institutional structural legs.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366" w:val="clear"/>
            <w:tcMar>
              <w:top w:type="dxa" w:w="100"/>
              <w:left w:type="dxa" w:w="160"/>
              <w:bottom w:type="dxa" w:w="100"/>
              <w:right w:type="dxa" w:w="160"/>
            </w:tcMar>
          </w:tcPr>
          <w:p>
            <w:pPr>
              <w:jc w:val="center"/>
            </w:pPr>
            <w:r>
              <w:rPr>
                <w:rFonts w:ascii="Arial" w:cs="Arial" w:eastAsia="Arial" w:hAnsi="Arial"/>
                <w:b/>
                <w:bCs/>
                <w:i w:val="false"/>
                <w:iCs w:val="false"/>
                <w:color w:val="FFFFFF"/>
                <w:sz w:val="22"/>
                <w:szCs w:val="22"/>
              </w:rPr>
              <w:t xml:space="preserve">BEARISH MACRO SETUP EXAMPLE</w:t>
            </w:r>
          </w:p>
        </w:tc>
        <w:tc>
          <w:tcPr>
            <w:tcW w:type="dxa" w:w="4680"/>
            <w:tcBorders>
              <w:top w:val="single" w:color="CCCCCC" w:sz="1"/>
              <w:left w:val="single" w:color="CCCCCC" w:sz="1"/>
              <w:bottom w:val="single" w:color="CCCCCC" w:sz="1"/>
              <w:right w:val="single" w:color="CCCCCC" w:sz="1"/>
            </w:tcBorders>
            <w:shd w:fill="4A0000" w:val="clear"/>
            <w:tcMar>
              <w:top w:type="dxa" w:w="100"/>
              <w:left w:type="dxa" w:w="160"/>
              <w:bottom w:type="dxa" w:w="100"/>
              <w:right w:type="dxa" w:w="160"/>
            </w:tcMar>
          </w:tcPr>
          <w:p>
            <w:pPr>
              <w:jc w:val="center"/>
            </w:pPr>
            <w:r>
              <w:rPr>
                <w:rFonts w:ascii="Arial" w:cs="Arial" w:eastAsia="Arial" w:hAnsi="Arial"/>
                <w:b/>
                <w:bCs/>
                <w:i w:val="false"/>
                <w:iCs w:val="false"/>
                <w:color w:val="FFFFFF"/>
                <w:sz w:val="22"/>
                <w:szCs w:val="22"/>
              </w:rPr>
              <w:t xml:space="preserve">BULLISH MACRO SETUP EXAMPLE</w:t>
            </w:r>
          </w:p>
        </w:tc>
      </w:tr>
      <w:tr>
        <w:tc>
          <w:tcPr>
            <w:tcW w:type="dxa" w:w="468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spacing w:after="30" w:before="30"/>
            </w:pPr>
            <w:r>
              <w:rPr>
                <w:rFonts w:ascii="Arial" w:cs="Arial" w:eastAsia="Arial" w:hAnsi="Arial"/>
                <w:b/>
                <w:bCs/>
                <w:i w:val="false"/>
                <w:iCs w:val="false"/>
                <w:color w:val="8B0000"/>
                <w:sz w:val="20"/>
                <w:szCs w:val="20"/>
              </w:rPr>
              <w:t xml:space="preserve">Step 1: Draw PRIMARY bearish Fib (top to bottom)</w:t>
            </w:r>
          </w:p>
          <w:p>
            <w:pPr>
              <w:spacing w:after="10" w:before="10"/>
            </w:pPr>
            <w:r>
              <w:rPr>
                <w:rFonts w:ascii="Arial" w:cs="Arial" w:eastAsia="Arial" w:hAnsi="Arial"/>
                <w:b w:val="false"/>
                <w:bCs w:val="false"/>
                <w:i w:val="false"/>
                <w:iCs w:val="false"/>
                <w:color w:val="8B0000"/>
                <w:sz w:val="20"/>
                <w:szCs w:val="20"/>
              </w:rPr>
              <w:t xml:space="preserve">Identifies 0.5 premium zone = sell target</w:t>
            </w:r>
          </w:p>
          <w:p>
            <w:pPr>
              <w:spacing w:after="20" w:before="20"/>
            </w:pPr>
            <w:r>
              <w:rPr>
                <w:rFonts w:ascii="Arial" w:cs="Arial" w:eastAsia="Arial" w:hAnsi="Arial"/>
                <w:b w:val="false"/>
                <w:bCs w:val="false"/>
                <w:i w:val="false"/>
                <w:iCs w:val="false"/>
                <w:color w:val="222222"/>
                <w:sz w:val="20"/>
                <w:szCs w:val="20"/>
              </w:rPr>
              <w:t xml:space="preserve"/>
            </w:r>
          </w:p>
          <w:p>
            <w:pPr>
              <w:spacing w:after="30" w:before="30"/>
            </w:pPr>
            <w:r>
              <w:rPr>
                <w:rFonts w:ascii="Arial" w:cs="Arial" w:eastAsia="Arial" w:hAnsi="Arial"/>
                <w:b/>
                <w:bCs/>
                <w:i w:val="false"/>
                <w:iCs w:val="false"/>
                <w:color w:val="333333"/>
                <w:sz w:val="20"/>
                <w:szCs w:val="20"/>
              </w:rPr>
              <w:t xml:space="preserve">Step 2: Price begins retracing upward</w:t>
            </w:r>
          </w:p>
          <w:p>
            <w:pPr>
              <w:spacing w:after="10" w:before="10"/>
            </w:pPr>
            <w:r>
              <w:rPr>
                <w:rFonts w:ascii="Arial" w:cs="Arial" w:eastAsia="Arial" w:hAnsi="Arial"/>
                <w:b w:val="false"/>
                <w:bCs w:val="false"/>
                <w:i w:val="false"/>
                <w:iCs w:val="false"/>
                <w:color w:val="222222"/>
                <w:sz w:val="20"/>
                <w:szCs w:val="20"/>
              </w:rPr>
              <w:t xml:space="preserve">Apply FVG cascade rules — bullish direction</w:t>
            </w:r>
          </w:p>
          <w:p>
            <w:pPr>
              <w:spacing w:after="10" w:before="10"/>
            </w:pPr>
            <w:r>
              <w:rPr>
                <w:rFonts w:ascii="Arial" w:cs="Arial" w:eastAsia="Arial" w:hAnsi="Arial"/>
                <w:b w:val="false"/>
                <w:bCs w:val="false"/>
                <w:i w:val="false"/>
                <w:iCs w:val="false"/>
                <w:color w:val="222222"/>
                <w:sz w:val="20"/>
                <w:szCs w:val="20"/>
              </w:rPr>
              <w:t xml:space="preserve">Draw COUNTER-TREND bullish Fib (bottom to top)</w:t>
            </w:r>
          </w:p>
          <w:p>
            <w:pPr>
              <w:spacing w:after="10" w:before="10"/>
            </w:pPr>
            <w:r>
              <w:rPr>
                <w:rFonts w:ascii="Arial" w:cs="Arial" w:eastAsia="Arial" w:hAnsi="Arial"/>
                <w:b/>
                <w:bCs/>
                <w:i w:val="false"/>
                <w:iCs w:val="false"/>
                <w:color w:val="1A5C2A"/>
                <w:sz w:val="20"/>
                <w:szCs w:val="20"/>
              </w:rPr>
              <w:t xml:space="preserve">Enter BUY at bullish discount zone (0.5–0.618)</w:t>
            </w:r>
          </w:p>
          <w:p>
            <w:pPr>
              <w:spacing w:after="20" w:before="20"/>
            </w:pPr>
            <w:r>
              <w:rPr>
                <w:rFonts w:ascii="Arial" w:cs="Arial" w:eastAsia="Arial" w:hAnsi="Arial"/>
                <w:b w:val="false"/>
                <w:bCs w:val="false"/>
                <w:i w:val="false"/>
                <w:iCs w:val="false"/>
                <w:color w:val="222222"/>
                <w:sz w:val="20"/>
                <w:szCs w:val="20"/>
              </w:rPr>
              <w:t xml:space="preserve"/>
            </w:r>
          </w:p>
          <w:p>
            <w:pPr>
              <w:spacing w:after="30" w:before="30"/>
            </w:pPr>
            <w:r>
              <w:rPr>
                <w:rFonts w:ascii="Arial" w:cs="Arial" w:eastAsia="Arial" w:hAnsi="Arial"/>
                <w:b/>
                <w:bCs/>
                <w:i w:val="false"/>
                <w:iCs w:val="false"/>
                <w:color w:val="333333"/>
                <w:sz w:val="20"/>
                <w:szCs w:val="20"/>
              </w:rPr>
              <w:t xml:space="preserve">Step 3: Price reaches top of bullish grid</w:t>
            </w:r>
          </w:p>
          <w:p>
            <w:pPr>
              <w:spacing w:after="10" w:before="10"/>
            </w:pPr>
            <w:r>
              <w:rPr>
                <w:rFonts w:ascii="Arial" w:cs="Arial" w:eastAsia="Arial" w:hAnsi="Arial"/>
                <w:b w:val="false"/>
                <w:bCs w:val="false"/>
                <w:i w:val="false"/>
                <w:iCs w:val="false"/>
                <w:color w:val="222222"/>
                <w:sz w:val="20"/>
                <w:szCs w:val="20"/>
              </w:rPr>
              <w:t xml:space="preserve">Top of bullish grid aligns with macro 0.5</w:t>
            </w:r>
          </w:p>
          <w:p>
            <w:pPr>
              <w:spacing w:after="10" w:before="10"/>
            </w:pPr>
            <w:r>
              <w:rPr>
                <w:rFonts w:ascii="Arial" w:cs="Arial" w:eastAsia="Arial" w:hAnsi="Arial"/>
                <w:b/>
                <w:bCs/>
                <w:i w:val="false"/>
                <w:iCs w:val="false"/>
                <w:color w:val="1A5C2A"/>
                <w:sz w:val="20"/>
                <w:szCs w:val="20"/>
              </w:rPr>
              <w:t xml:space="preserve">Close BUY trade — collect counter-trend profit</w:t>
            </w:r>
          </w:p>
          <w:p>
            <w:pPr>
              <w:spacing w:after="10" w:before="10"/>
            </w:pPr>
            <w:r>
              <w:rPr>
                <w:rFonts w:ascii="Arial" w:cs="Arial" w:eastAsia="Arial" w:hAnsi="Arial"/>
                <w:b/>
                <w:bCs/>
                <w:i w:val="false"/>
                <w:iCs w:val="false"/>
                <w:color w:val="8B0000"/>
                <w:sz w:val="20"/>
                <w:szCs w:val="20"/>
              </w:rPr>
              <w:t xml:space="preserve">Immediately open SELL — primary macro trade</w:t>
            </w:r>
          </w:p>
          <w:p>
            <w:pPr>
              <w:spacing w:after="30" w:before="30"/>
            </w:pPr>
            <w:r>
              <w:rPr>
                <w:rFonts w:ascii="Arial" w:cs="Arial" w:eastAsia="Arial" w:hAnsi="Arial"/>
                <w:b/>
                <w:bCs/>
                <w:i w:val="false"/>
                <w:iCs w:val="false"/>
                <w:color w:val="003366"/>
                <w:sz w:val="20"/>
                <w:szCs w:val="20"/>
              </w:rPr>
              <w:t xml:space="preserve">RESULT: Two profits, one structural setup</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30" w:before="30"/>
            </w:pPr>
            <w:r>
              <w:rPr>
                <w:rFonts w:ascii="Arial" w:cs="Arial" w:eastAsia="Arial" w:hAnsi="Arial"/>
                <w:b/>
                <w:bCs/>
                <w:i w:val="false"/>
                <w:iCs w:val="false"/>
                <w:color w:val="1A5C2A"/>
                <w:sz w:val="20"/>
                <w:szCs w:val="20"/>
              </w:rPr>
              <w:t xml:space="preserve">Step 1: Draw PRIMARY bullish Fib (bottom to top)</w:t>
            </w:r>
          </w:p>
          <w:p>
            <w:pPr>
              <w:spacing w:after="10" w:before="10"/>
            </w:pPr>
            <w:r>
              <w:rPr>
                <w:rFonts w:ascii="Arial" w:cs="Arial" w:eastAsia="Arial" w:hAnsi="Arial"/>
                <w:b w:val="false"/>
                <w:bCs w:val="false"/>
                <w:i w:val="false"/>
                <w:iCs w:val="false"/>
                <w:color w:val="1A5C2A"/>
                <w:sz w:val="20"/>
                <w:szCs w:val="20"/>
              </w:rPr>
              <w:t xml:space="preserve">Identifies 0.5 discount zone = buy target</w:t>
            </w:r>
          </w:p>
          <w:p>
            <w:pPr>
              <w:spacing w:after="20" w:before="20"/>
            </w:pPr>
            <w:r>
              <w:rPr>
                <w:rFonts w:ascii="Arial" w:cs="Arial" w:eastAsia="Arial" w:hAnsi="Arial"/>
                <w:b w:val="false"/>
                <w:bCs w:val="false"/>
                <w:i w:val="false"/>
                <w:iCs w:val="false"/>
                <w:color w:val="222222"/>
                <w:sz w:val="20"/>
                <w:szCs w:val="20"/>
              </w:rPr>
              <w:t xml:space="preserve"/>
            </w:r>
          </w:p>
          <w:p>
            <w:pPr>
              <w:spacing w:after="30" w:before="30"/>
            </w:pPr>
            <w:r>
              <w:rPr>
                <w:rFonts w:ascii="Arial" w:cs="Arial" w:eastAsia="Arial" w:hAnsi="Arial"/>
                <w:b/>
                <w:bCs/>
                <w:i w:val="false"/>
                <w:iCs w:val="false"/>
                <w:color w:val="333333"/>
                <w:sz w:val="20"/>
                <w:szCs w:val="20"/>
              </w:rPr>
              <w:t xml:space="preserve">Step 2: Price begins retracing downward</w:t>
            </w:r>
          </w:p>
          <w:p>
            <w:pPr>
              <w:spacing w:after="10" w:before="10"/>
            </w:pPr>
            <w:r>
              <w:rPr>
                <w:rFonts w:ascii="Arial" w:cs="Arial" w:eastAsia="Arial" w:hAnsi="Arial"/>
                <w:b w:val="false"/>
                <w:bCs w:val="false"/>
                <w:i w:val="false"/>
                <w:iCs w:val="false"/>
                <w:color w:val="222222"/>
                <w:sz w:val="20"/>
                <w:szCs w:val="20"/>
              </w:rPr>
              <w:t xml:space="preserve">Apply FVG cascade rules — bearish direction</w:t>
            </w:r>
          </w:p>
          <w:p>
            <w:pPr>
              <w:spacing w:after="10" w:before="10"/>
            </w:pPr>
            <w:r>
              <w:rPr>
                <w:rFonts w:ascii="Arial" w:cs="Arial" w:eastAsia="Arial" w:hAnsi="Arial"/>
                <w:b w:val="false"/>
                <w:bCs w:val="false"/>
                <w:i w:val="false"/>
                <w:iCs w:val="false"/>
                <w:color w:val="222222"/>
                <w:sz w:val="20"/>
                <w:szCs w:val="20"/>
              </w:rPr>
              <w:t xml:space="preserve">Draw COUNTER-TREND bearish Fib (top to bottom)</w:t>
            </w:r>
          </w:p>
          <w:p>
            <w:pPr>
              <w:spacing w:after="10" w:before="10"/>
            </w:pPr>
            <w:r>
              <w:rPr>
                <w:rFonts w:ascii="Arial" w:cs="Arial" w:eastAsia="Arial" w:hAnsi="Arial"/>
                <w:b/>
                <w:bCs/>
                <w:i w:val="false"/>
                <w:iCs w:val="false"/>
                <w:color w:val="8B0000"/>
                <w:sz w:val="20"/>
                <w:szCs w:val="20"/>
              </w:rPr>
              <w:t xml:space="preserve">Enter SELL at bearish premium zone (0.5–0.382)</w:t>
            </w:r>
          </w:p>
          <w:p>
            <w:pPr>
              <w:spacing w:after="20" w:before="20"/>
            </w:pPr>
            <w:r>
              <w:rPr>
                <w:rFonts w:ascii="Arial" w:cs="Arial" w:eastAsia="Arial" w:hAnsi="Arial"/>
                <w:b w:val="false"/>
                <w:bCs w:val="false"/>
                <w:i w:val="false"/>
                <w:iCs w:val="false"/>
                <w:color w:val="222222"/>
                <w:sz w:val="20"/>
                <w:szCs w:val="20"/>
              </w:rPr>
              <w:t xml:space="preserve"/>
            </w:r>
          </w:p>
          <w:p>
            <w:pPr>
              <w:spacing w:after="30" w:before="30"/>
            </w:pPr>
            <w:r>
              <w:rPr>
                <w:rFonts w:ascii="Arial" w:cs="Arial" w:eastAsia="Arial" w:hAnsi="Arial"/>
                <w:b/>
                <w:bCs/>
                <w:i w:val="false"/>
                <w:iCs w:val="false"/>
                <w:color w:val="333333"/>
                <w:sz w:val="20"/>
                <w:szCs w:val="20"/>
              </w:rPr>
              <w:t xml:space="preserve">Step 3: Price reaches bottom of bearish grid</w:t>
            </w:r>
          </w:p>
          <w:p>
            <w:pPr>
              <w:spacing w:after="10" w:before="10"/>
            </w:pPr>
            <w:r>
              <w:rPr>
                <w:rFonts w:ascii="Arial" w:cs="Arial" w:eastAsia="Arial" w:hAnsi="Arial"/>
                <w:b w:val="false"/>
                <w:bCs w:val="false"/>
                <w:i w:val="false"/>
                <w:iCs w:val="false"/>
                <w:color w:val="222222"/>
                <w:sz w:val="20"/>
                <w:szCs w:val="20"/>
              </w:rPr>
              <w:t xml:space="preserve">Bottom of bearish grid aligns with macro 0.5</w:t>
            </w:r>
          </w:p>
          <w:p>
            <w:pPr>
              <w:spacing w:after="10" w:before="10"/>
            </w:pPr>
            <w:r>
              <w:rPr>
                <w:rFonts w:ascii="Arial" w:cs="Arial" w:eastAsia="Arial" w:hAnsi="Arial"/>
                <w:b/>
                <w:bCs/>
                <w:i w:val="false"/>
                <w:iCs w:val="false"/>
                <w:color w:val="8B0000"/>
                <w:sz w:val="20"/>
                <w:szCs w:val="20"/>
              </w:rPr>
              <w:t xml:space="preserve">Close SELL trade — collect counter-trend profit</w:t>
            </w:r>
          </w:p>
          <w:p>
            <w:pPr>
              <w:spacing w:after="10" w:before="10"/>
            </w:pPr>
            <w:r>
              <w:rPr>
                <w:rFonts w:ascii="Arial" w:cs="Arial" w:eastAsia="Arial" w:hAnsi="Arial"/>
                <w:b/>
                <w:bCs/>
                <w:i w:val="false"/>
                <w:iCs w:val="false"/>
                <w:color w:val="1A5C2A"/>
                <w:sz w:val="20"/>
                <w:szCs w:val="20"/>
              </w:rPr>
              <w:t xml:space="preserve">Immediately open BUY — primary macro trade</w:t>
            </w:r>
          </w:p>
          <w:p>
            <w:pPr>
              <w:spacing w:after="30" w:before="30"/>
            </w:pPr>
            <w:r>
              <w:rPr>
                <w:rFonts w:ascii="Arial" w:cs="Arial" w:eastAsia="Arial" w:hAnsi="Arial"/>
                <w:b/>
                <w:bCs/>
                <w:i w:val="false"/>
                <w:iCs w:val="false"/>
                <w:color w:val="003366"/>
                <w:sz w:val="20"/>
                <w:szCs w:val="20"/>
              </w:rPr>
              <w:t xml:space="preserve">RESULT: Two profits, one structural setup</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3.3  Counter-Trend Trade Rules</w:t>
      </w:r>
    </w:p>
    <w:p>
      <w:pPr>
        <w:spacing w:after="80" w:before="80"/>
        <w:jc w:val="left"/>
      </w:pPr>
      <w:r>
        <w:rPr>
          <w:rFonts w:ascii="Arial" w:cs="Arial" w:eastAsia="Arial" w:hAnsi="Arial"/>
          <w:b w:val="false"/>
          <w:bCs w:val="false"/>
          <w:i w:val="false"/>
          <w:iCs w:val="false"/>
          <w:color w:val="222222"/>
          <w:sz w:val="22"/>
          <w:szCs w:val="22"/>
        </w:rPr>
        <w:t xml:space="preserve">The counter-trend grid uses identical rules to the primary cascade. The only differences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Parameter</w:t>
            </w:r>
          </w:p>
        </w:tc>
        <w:tc>
          <w:tcPr>
            <w:tcW w:type="dxa" w:w="6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val="false"/>
                <w:bCs w:val="false"/>
                <w:i w:val="false"/>
                <w:iCs w:val="false"/>
                <w:color w:val="FFFFFF"/>
                <w:sz w:val="21"/>
                <w:szCs w:val="21"/>
              </w:rPr>
              <w:t xml:space="preserve">Counter-Trend Rule</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FVG Detection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Same rule — any gap between C1 High and C3 Low (bullish) or C1 Low and C3 High (bearish)</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Fibonacci Direction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Opposite to macro. Macro bearish → counter-trend Fib drawn bottom to top (bullish). Macro bullish → counter-trend Fib drawn top to bottom (bearish).</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Timeframe Cascade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Same six-gate cascade applied in the opposite direction on the retracement leg</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Entry Zone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Same 0.5–0.618 discount (bullish CT) or 0.5–0.382 premium (bearish CT)</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Exit Target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The 0.5 level of the macro primary Fibonacci grid — where the primary trade begins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Sniper Engine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Same three-metric trigger: Tick Velocity + Quote Imbalance + Iceberg Absorption</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Grid Validity Rule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Counter-trend grid is only valid if macro primary cascade has at least 3 of 6 gates confirmed</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3.4  The Double Trade Signal Flow</w:t>
      </w:r>
    </w:p>
    <w:p>
      <w:pPr>
        <w:spacing w:after="100" w:before="80"/>
        <w:jc w:val="left"/>
      </w:pPr>
      <w:r>
        <w:rPr>
          <w:rFonts w:ascii="Arial" w:cs="Arial" w:eastAsia="Arial" w:hAnsi="Arial"/>
          <w:b w:val="false"/>
          <w:bCs w:val="false"/>
          <w:i w:val="false"/>
          <w:iCs w:val="false"/>
          <w:color w:val="222222"/>
          <w:sz w:val="22"/>
          <w:szCs w:val="22"/>
        </w:rPr>
        <w:t xml:space="preserve">The system detects and publishes both trades simultaneously as linked signal cards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700"/>
        <w:gridCol w:w="3420"/>
      </w:tblGrid>
      <w:tr>
        <w:tc>
          <w:tcPr>
            <w:tcW w:type="dxa" w:w="5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Event</w:t>
            </w:r>
          </w:p>
        </w:tc>
        <w:tc>
          <w:tcPr>
            <w:tcW w:type="dxa" w:w="2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Trade Action</w:t>
            </w:r>
          </w:p>
        </w:tc>
        <w:tc>
          <w:tcPr>
            <w:tcW w:type="dxa" w:w="34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System Output</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1</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Macro cascade reaches 3+ confirmed gates</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 trade yet</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MACRO ALERT signal published. Counter-trend watch begins.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Counter-trend FVG cascade confirmed (all 6 gates)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Enter counter-trend trade at CT sniper zone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 ACTIVE signal. Entry order at CT 0.5–0.618 zone.</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3</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travels toward macro primary 0.5 level</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Ride counter-trend trade. Monitor macro 0.5 proximity.</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approaching primary target. Prepare flip.</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reaches macro primary 0.5 level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Close counter-trend trade. Open primary macro trade.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FLIP SIGNAL — counter-trend exit + primary entry simultaneously.</w:t>
            </w:r>
          </w:p>
        </w:tc>
      </w:tr>
      <w:tr>
        <w:tc>
          <w:tcPr>
            <w:tcW w:type="dxa" w:w="5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003366"/>
                <w:sz w:val="20"/>
                <w:szCs w:val="20"/>
              </w:rPr>
              <w:t xml:space="preserve">5</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Price expands in primary macro direction</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Ride primary macro trade.</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ACTIVE. Target: next structural level.</w:t>
            </w:r>
          </w:p>
        </w:tc>
      </w:tr>
    </w:tbl>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4.  Trade Signal Generation Engine</w:t>
      </w:r>
    </w:p>
    <w:p>
      <w:pPr>
        <w:spacing w:after="120" w:before="80"/>
        <w:jc w:val="left"/>
      </w:pPr>
      <w:r>
        <w:rPr>
          <w:rFonts w:ascii="Arial" w:cs="Arial" w:eastAsia="Arial" w:hAnsi="Arial"/>
          <w:b w:val="false"/>
          <w:bCs w:val="false"/>
          <w:i w:val="false"/>
          <w:iCs w:val="false"/>
          <w:color w:val="222222"/>
          <w:sz w:val="22"/>
          <w:szCs w:val="22"/>
        </w:rPr>
        <w:t xml:space="preserve">Because the cascade operates on timeframes from 12-Month down to 1-Hour, structural alignment is identifiable days, weeks, or months before price enters the final execution zone. The system publishes a signal the moment the structural case is complete — not when price finally arrives.</w:t>
      </w:r>
    </w:p>
    <w:p>
      <w:pPr>
        <w:pStyle w:val="Heading2"/>
        <w:spacing w:after="100" w:before="240"/>
      </w:pPr>
      <w:r>
        <w:rPr>
          <w:rFonts w:ascii="Arial" w:cs="Arial" w:eastAsia="Arial" w:hAnsi="Arial"/>
          <w:b/>
          <w:bCs/>
          <w:i w:val="false"/>
          <w:iCs w:val="false"/>
          <w:color w:val="003366"/>
          <w:sz w:val="26"/>
          <w:szCs w:val="26"/>
        </w:rPr>
        <w:t xml:space="preserve">4.1  Signal 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r>
              <w:rPr>
                <w:rFonts w:ascii="Arial" w:cs="Arial" w:eastAsia="Arial" w:hAnsi="Arial"/>
                <w:b/>
                <w:bCs/>
                <w:i w:val="false"/>
                <w:iCs w:val="false"/>
                <w:color w:val="FFFFFF"/>
                <w:sz w:val="21"/>
                <w:szCs w:val="21"/>
              </w:rPr>
              <w:t xml:space="preserve">Signal Type</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r>
              <w:rPr>
                <w:rFonts w:ascii="Arial" w:cs="Arial" w:eastAsia="Arial" w:hAnsi="Arial"/>
                <w:b/>
                <w:bCs/>
                <w:i w:val="false"/>
                <w:iCs w:val="false"/>
                <w:color w:val="FFFFFF"/>
                <w:sz w:val="21"/>
                <w:szCs w:val="21"/>
              </w:rPr>
              <w:t xml:space="preserve">Lead Time</w:t>
            </w:r>
          </w:p>
        </w:tc>
        <w:tc>
          <w:tcPr>
            <w:tcW w:type="dxa" w:w="50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r>
              <w:rPr>
                <w:rFonts w:ascii="Arial" w:cs="Arial" w:eastAsia="Arial" w:hAnsi="Arial"/>
                <w:b/>
                <w:bCs/>
                <w:i w:val="false"/>
                <w:iCs w:val="false"/>
                <w:color w:val="FFFFFF"/>
                <w:sz w:val="21"/>
                <w:szCs w:val="21"/>
              </w:rPr>
              <w:t xml:space="preserve">Meaning</w:t>
            </w:r>
          </w:p>
        </w:tc>
      </w:tr>
      <w:t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003366"/>
                <w:sz w:val="20"/>
                <w:szCs w:val="20"/>
              </w:rPr>
              <w:t xml:space="preserve">Macro Alert</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9A7200"/>
                <w:sz w:val="20"/>
                <w:szCs w:val="20"/>
              </w:rPr>
              <w:t xml:space="preserve">Weeks – Months</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12M and 3M cascade gates confirmed. Price approaching major structural zone. Primary grid published. Counter-trend watch activated.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3366"/>
                <w:sz w:val="20"/>
                <w:szCs w:val="20"/>
              </w:rPr>
              <w:t xml:space="preserve">Mid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9A7200"/>
                <w:sz w:val="20"/>
                <w:szCs w:val="20"/>
              </w:rPr>
              <w:t xml:space="preserve">Days – Weeks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4 of 6 gates confirmed. Final gates approaching. Both primary and counter-trend setups mapped.</w:t>
            </w:r>
          </w:p>
        </w:tc>
      </w:tr>
      <w:t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003366"/>
                <w:sz w:val="20"/>
                <w:szCs w:val="20"/>
              </w:rPr>
              <w:t xml:space="preserve">Active Signal</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9A7200"/>
                <w:sz w:val="20"/>
                <w:szCs w:val="20"/>
              </w:rPr>
              <w:t xml:space="preserve">Hours – Days</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All 6 gates confirmed. Price inside final zone. Sniper engine activated for both primary and CT trade as applicable.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3366"/>
                <w:sz w:val="20"/>
                <w:szCs w:val="20"/>
              </w:rPr>
              <w:t xml:space="preserve">Flip Signal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9A7200"/>
                <w:sz w:val="20"/>
                <w:szCs w:val="20"/>
              </w:rPr>
              <w:t xml:space="preserve">Real-time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Counter-trend trade exit + primary trade entry simultaneously at macro 0.5 level.</w:t>
            </w:r>
          </w:p>
        </w:tc>
      </w:tr>
      <w:t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003366"/>
                <w:sz w:val="20"/>
                <w:szCs w:val="20"/>
              </w:rPr>
              <w:t xml:space="preserve">Execute</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bCs/>
                <w:i w:val="false"/>
                <w:iCs w:val="false"/>
                <w:color w:val="9A7200"/>
                <w:sz w:val="20"/>
                <w:szCs w:val="20"/>
              </w:rPr>
              <w:t xml:space="preserve">Milliseconds</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All three sniper metrics aligned. Entry order fired.</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4.2  Historical Confirmation Backtest</w:t>
      </w:r>
    </w:p>
    <w:p>
      <w:pPr>
        <w:spacing w:after="100" w:before="80"/>
        <w:jc w:val="left"/>
      </w:pPr>
      <w:r>
        <w:rPr>
          <w:rFonts w:ascii="Arial" w:cs="Arial" w:eastAsia="Arial" w:hAnsi="Arial"/>
          <w:b w:val="false"/>
          <w:bCs w:val="false"/>
          <w:i w:val="false"/>
          <w:iCs w:val="false"/>
          <w:color w:val="222222"/>
          <w:sz w:val="22"/>
          <w:szCs w:val="22"/>
        </w:rPr>
        <w:t xml:space="preserve">The 20-year historical state map builds a statistical record of every time the cascade aligned — primary and counter-trend. For each past setup the platform records: entry level, exit level, move size, risk-to-reward ratio, and outcome. This transforms the dashboard's signal board from a theoretical tool into an evidence-based system with a quantified historical edge.</w:t>
      </w: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5.  Microstructure Sniper Execution Engine</w:t>
      </w:r>
    </w:p>
    <w:p>
      <w:pPr>
        <w:spacing w:after="120" w:before="80"/>
        <w:jc w:val="left"/>
      </w:pPr>
      <w:r>
        <w:rPr>
          <w:rFonts w:ascii="Arial" w:cs="Arial" w:eastAsia="Arial" w:hAnsi="Arial"/>
          <w:b w:val="false"/>
          <w:bCs w:val="false"/>
          <w:i w:val="false"/>
          <w:iCs w:val="false"/>
          <w:color w:val="222222"/>
          <w:sz w:val="22"/>
          <w:szCs w:val="22"/>
        </w:rPr>
        <w:t xml:space="preserve">When an Active Signal is live and price enters the final 1-Hour discount or premium zone — for either the primary or the counter-trend trade — the Sniper Engine takes control. All three trigger metrics must align simultaneously.</w:t>
      </w:r>
    </w:p>
    <w:p>
      <w:pPr>
        <w:spacing w:after="80" w:before="180"/>
      </w:pPr>
      <w:r>
        <w:rPr>
          <w:rFonts w:ascii="Arial" w:cs="Arial" w:eastAsia="Arial" w:hAnsi="Arial"/>
          <w:b/>
          <w:bCs/>
          <w:i w:val="false"/>
          <w:iCs w:val="false"/>
          <w:color w:val="9A7200"/>
          <w:sz w:val="23"/>
          <w:szCs w:val="23"/>
        </w:rPr>
        <w:t xml:space="preserve">Metric 1 — Tick Velocity  (Tape Speed)</w:t>
      </w:r>
    </w:p>
    <w:p>
      <w:pPr>
        <w:spacing w:after="100" w:before="80"/>
        <w:jc w:val="left"/>
      </w:pPr>
      <w:r>
        <w:rPr>
          <w:rFonts w:ascii="Arial" w:cs="Arial" w:eastAsia="Arial" w:hAnsi="Arial"/>
          <w:b w:val="false"/>
          <w:bCs w:val="false"/>
          <w:i w:val="false"/>
          <w:iCs w:val="false"/>
          <w:color w:val="222222"/>
          <w:sz w:val="22"/>
          <w:szCs w:val="22"/>
        </w:rPr>
        <w:t xml:space="preserve">Measures incoming Bid/Ask quote updates per millisecond. An exponential surge when price hits the sniper zone confirms institutional matching engines are actively processing heavy order flow — detectable seconds before any reversal candle forms.</w:t>
      </w:r>
    </w:p>
    <w:p>
      <w:pPr>
        <w:spacing w:after="80" w:before="180"/>
      </w:pPr>
      <w:r>
        <w:rPr>
          <w:rFonts w:ascii="Arial" w:cs="Arial" w:eastAsia="Arial" w:hAnsi="Arial"/>
          <w:b/>
          <w:bCs/>
          <w:i w:val="false"/>
          <w:iCs w:val="false"/>
          <w:color w:val="9A7200"/>
          <w:sz w:val="23"/>
          <w:szCs w:val="23"/>
        </w:rPr>
        <w:t xml:space="preserve">Metric 2 — Synthetic Quote Imbalance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Ask Pull-Away Speed (Long): Rate at which market makers lift the Ask. Signals aggressive institutional buy pressure.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Bid Support Stacking (Long): Rapid upward updates to Bid without price dropping. Signals passive limit buy wall forming.</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Reversed for Short entries: Bid Pull-Down Speed + Ask Ceiling Stacking.</w:t>
      </w:r>
    </w:p>
    <w:p>
      <w:pPr>
        <w:spacing w:after="80" w:before="0"/>
      </w:pPr>
    </w:p>
    <w:p>
      <w:pPr>
        <w:spacing w:after="80" w:before="180"/>
      </w:pPr>
      <w:r>
        <w:rPr>
          <w:rFonts w:ascii="Arial" w:cs="Arial" w:eastAsia="Arial" w:hAnsi="Arial"/>
          <w:b/>
          <w:bCs/>
          <w:i w:val="false"/>
          <w:iCs w:val="false"/>
          <w:color w:val="9A7200"/>
          <w:sz w:val="23"/>
          <w:szCs w:val="23"/>
        </w:rPr>
        <w:t xml:space="preserve">Metric 3 — Institutional Iceberg Absorption  (Primary Trigger)</w:t>
      </w:r>
    </w:p>
    <w:p>
      <w:pPr>
        <w:pStyle w:val="ListParagraph"/>
        <w:numPr>
          <w:ilvl w:val="0"/>
          <w:numId w:val="3"/>
        </w:numPr>
        <w:spacing w:after="70" w:before="60"/>
      </w:pPr>
      <w:r>
        <w:rPr>
          <w:rFonts w:ascii="Arial" w:cs="Arial" w:eastAsia="Arial" w:hAnsi="Arial"/>
          <w:b w:val="false"/>
          <w:bCs w:val="false"/>
          <w:i w:val="false"/>
          <w:iCs w:val="false"/>
          <w:color w:val="222222"/>
          <w:sz w:val="22"/>
          <w:szCs w:val="22"/>
        </w:rPr>
        <w:t xml:space="preserve">Price moves aggressively into sniper zone.</w:t>
      </w:r>
    </w:p>
    <w:p>
      <w:pPr>
        <w:pStyle w:val="ListParagraph"/>
        <w:numPr>
          <w:ilvl w:val="0"/>
          <w:numId w:val="3"/>
        </w:numPr>
        <w:spacing w:after="70" w:before="60"/>
      </w:pPr>
      <w:r>
        <w:rPr>
          <w:rFonts w:ascii="Arial" w:cs="Arial" w:eastAsia="Arial" w:hAnsi="Arial"/>
          <w:b w:val="false"/>
          <w:bCs w:val="false"/>
          <w:i w:val="false"/>
          <w:iCs w:val="false"/>
          <w:color w:val="222222"/>
          <w:sz w:val="22"/>
          <w:szCs w:val="22"/>
        </w:rPr>
        <w:t xml:space="preserve">Tick velocity surges — heavy one-sided pressure.</w:t>
      </w:r>
    </w:p>
    <w:p>
      <w:pPr>
        <w:pStyle w:val="ListParagraph"/>
        <w:numPr>
          <w:ilvl w:val="0"/>
          <w:numId w:val="3"/>
        </w:numPr>
        <w:spacing w:after="70" w:before="60"/>
      </w:pPr>
      <w:r>
        <w:rPr>
          <w:rFonts w:ascii="Arial" w:cs="Arial" w:eastAsia="Arial" w:hAnsi="Arial"/>
          <w:b w:val="false"/>
          <w:bCs w:val="false"/>
          <w:i w:val="false"/>
          <w:iCs w:val="false"/>
          <w:color w:val="222222"/>
          <w:sz w:val="22"/>
          <w:szCs w:val="22"/>
        </w:rPr>
        <w:t xml:space="preserve">Price floor/ceiling stops moving despite continued pressure — institutional absorber active.</w:t>
      </w:r>
    </w:p>
    <w:p>
      <w:pPr>
        <w:pStyle w:val="ListParagraph"/>
        <w:numPr>
          <w:ilvl w:val="0"/>
          <w:numId w:val="3"/>
        </w:numPr>
        <w:spacing w:after="70" w:before="60"/>
      </w:pPr>
      <w:r>
        <w:rPr>
          <w:rFonts w:ascii="Arial" w:cs="Arial" w:eastAsia="Arial" w:hAnsi="Arial"/>
          <w:b w:val="false"/>
          <w:bCs w:val="false"/>
          <w:i w:val="false"/>
          <w:iCs w:val="false"/>
          <w:color w:val="222222"/>
          <w:sz w:val="22"/>
          <w:szCs w:val="22"/>
        </w:rPr>
        <w:t xml:space="preserve">Tick velocity normalises — absorber has consumed all opposing flow.</w:t>
      </w:r>
    </w:p>
    <w:p>
      <w:pPr>
        <w:pStyle w:val="ListParagraph"/>
        <w:numPr>
          <w:ilvl w:val="0"/>
          <w:numId w:val="3"/>
        </w:numPr>
        <w:spacing w:after="100" w:before="60"/>
      </w:pPr>
      <w:r>
        <w:rPr>
          <w:rFonts w:ascii="Arial" w:cs="Arial" w:eastAsia="Arial" w:hAnsi="Arial"/>
          <w:b/>
          <w:bCs/>
          <w:i w:val="false"/>
          <w:iCs w:val="false"/>
          <w:color w:val="1A5C2A"/>
          <w:sz w:val="22"/>
          <w:szCs w:val="22"/>
        </w:rPr>
        <w:t xml:space="preserve">EXECUTE ENTRY — order fires at precise reversal point.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03366" w:sz="1"/>
              <w:left w:val="single" w:color="003366" w:sz="1"/>
              <w:bottom w:val="single" w:color="003366" w:sz="1"/>
              <w:right w:val="none" w:color="FFFFFF" w:sz="0"/>
            </w:tcBorders>
            <w:shd w:fill="003366" w:val="clear"/>
            <w:tcMar>
              <w:top w:type="dxa" w:w="120"/>
              <w:left w:type="dxa" w:w="160"/>
              <w:bottom w:type="dxa" w:w="120"/>
              <w:right w:type="dxa" w:w="160"/>
            </w:tcMar>
            <w:vAlign w:val="center"/>
          </w:tcPr>
          <w:p>
            <w:pPr>
              <w:jc w:val="center"/>
            </w:pPr>
            <w:r>
              <w:rPr>
                <w:rFonts w:ascii="Arial" w:cs="Arial" w:eastAsia="Arial" w:hAnsi="Arial"/>
                <w:b/>
                <w:bCs/>
                <w:i w:val="false"/>
                <w:iCs w:val="false"/>
                <w:color w:val="FFFFFF"/>
                <w:sz w:val="20"/>
                <w:szCs w:val="20"/>
              </w:rPr>
              <w:t xml:space="preserve">NOTE</w:t>
            </w:r>
          </w:p>
        </w:tc>
        <w:tc>
          <w:tcPr>
            <w:tcW w:type="dxa" w:w="7920"/>
            <w:tcBorders>
              <w:top w:val="single" w:color="003366" w:sz="1"/>
              <w:left w:val="none" w:color="FFFFFF" w:sz="0"/>
              <w:bottom w:val="single" w:color="003366" w:sz="1"/>
              <w:right w:val="single" w:color="003366" w:sz="1"/>
            </w:tcBorders>
            <w:shd w:fill="F2F4F7" w:val="clear"/>
            <w:tcMar>
              <w:top w:type="dxa" w:w="120"/>
              <w:left w:type="dxa" w:w="200"/>
              <w:bottom w:type="dxa" w:w="120"/>
              <w:right w:type="dxa" w:w="200"/>
            </w:tcMar>
          </w:tcPr>
          <w:p>
            <w:r>
              <w:rPr>
                <w:rFonts w:ascii="Arial" w:cs="Arial" w:eastAsia="Arial" w:hAnsi="Arial"/>
                <w:b w:val="false"/>
                <w:bCs w:val="false"/>
                <w:i/>
                <w:iCs/>
                <w:color w:val="222222"/>
                <w:sz w:val="22"/>
                <w:szCs w:val="22"/>
              </w:rPr>
              <w:t xml:space="preserve">All three metrics must align simultaneously. A single or double metric is not sufficient to trigger. This multi-condition filter prevents false entries at strong levels that are eventually broken.</w:t>
            </w:r>
          </w:p>
        </w:tc>
      </w:tr>
    </w:tbl>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6.  Data Architecture &amp; Infrastructure</w:t>
      </w:r>
    </w:p>
    <w:p>
      <w:pPr>
        <w:pStyle w:val="Heading2"/>
        <w:spacing w:after="100" w:before="240"/>
      </w:pPr>
      <w:r>
        <w:rPr>
          <w:rFonts w:ascii="Arial" w:cs="Arial" w:eastAsia="Arial" w:hAnsi="Arial"/>
          <w:b/>
          <w:bCs/>
          <w:i w:val="false"/>
          <w:iCs w:val="false"/>
          <w:color w:val="003366"/>
          <w:sz w:val="26"/>
          <w:szCs w:val="26"/>
        </w:rPr>
        <w:t xml:space="preserve">6.1  Historical Data — Dukascopy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Provider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Dukascopy Europe — Institutional Data Division</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Tool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dukascopy-node CLI (Node.js) — no account or API key required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Asset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XAU/USD Spot Gold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Data Type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Un-sampled OHLCV + raw Bid/Ask tick records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Coverage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2003 to present — 20+ years of complete price history</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Purpose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Historical state map, FVG detection, double trade backtest, signal accuracy analytics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Free</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6.2  Live Data — Tiingo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Provider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Tiingo — Institutional Forex &amp; Metals Data</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Connection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WebSocket (wss://api.tiingo.com/fx) — persistent open tunnel</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Subscription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["xauusd"] with thresholdLevel: 5 — strips noise, streams structural quotes only</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Data Type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Real-time Top-of-Book Bid/Ask quote ticks from Tier-1 institutional liquidity</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Free Tier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2 GB/month (~14 million ticks) — sufficient for single-asset deployment</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Why Not OANDA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Geoblocks Indian residents under RBI/FEMA. Tiingo is a data provider — no country restrictions.</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6.3  Database — 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Engine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ClickHouse DBMS — Column-Oriented Architecture</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Deployment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Dockerised on Ubuntu Linux VPS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Why ClickHouse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Sub-millisecond aggregation across billions of tick rows — HFT industry standard</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Core Tables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xauusd_ticks · ohlcv (all TFs) · fvg_events · fib_grids · trade_signals · double_trade_pairs</w:t>
            </w:r>
          </w:p>
        </w:tc>
      </w:tr>
    </w:tbl>
    <w:p>
      <w:pPr>
        <w:spacing w:after="140" w:before="0"/>
      </w:pPr>
    </w:p>
    <w:p>
      <w:pPr>
        <w:pStyle w:val="Heading2"/>
        <w:spacing w:after="100" w:before="240"/>
      </w:pPr>
      <w:r>
        <w:rPr>
          <w:rFonts w:ascii="Arial" w:cs="Arial" w:eastAsia="Arial" w:hAnsi="Arial"/>
          <w:b/>
          <w:bCs/>
          <w:i w:val="false"/>
          <w:iCs w:val="false"/>
          <w:color w:val="003366"/>
          <w:sz w:val="26"/>
          <w:szCs w:val="26"/>
        </w:rPr>
        <w:t xml:space="preserve">6.4  Server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Ubuntu 22.04 LTS — headless cloud VPS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Recommended Spec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2 vCPU  ·  4 GB RAM  ·  50 GB SSD  ·  4 GB swap</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Process Management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tmux — persistent detached sessions</w:t>
            </w:r>
          </w:p>
        </w:tc>
      </w:tr>
      <w:t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Containerisation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1"/>
                <w:szCs w:val="21"/>
              </w:rPr>
              <w:t xml:space="preserve">Docker — isolated ClickHouse and Python environments</w:t>
            </w:r>
          </w:p>
        </w:tc>
      </w:tr>
    </w:tbl>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7.  Ultimate Trading Dashboard</w:t>
      </w:r>
    </w:p>
    <w:p>
      <w:pPr>
        <w:spacing w:after="120" w:before="80"/>
        <w:jc w:val="left"/>
      </w:pPr>
      <w:r>
        <w:rPr>
          <w:rFonts w:ascii="Arial" w:cs="Arial" w:eastAsia="Arial" w:hAnsi="Arial"/>
          <w:b w:val="false"/>
          <w:bCs w:val="false"/>
          <w:i w:val="false"/>
          <w:iCs w:val="false"/>
          <w:color w:val="222222"/>
          <w:sz w:val="22"/>
          <w:szCs w:val="22"/>
        </w:rPr>
        <w:t xml:space="preserve">The dashboard is the primary interface of the entire platform. Built with Python, Streamlit, and Plotly, it runs on the cloud server and is accessible from any browser or device. It replaces TradingView for this strategy entirely.</w:t>
      </w:r>
    </w:p>
    <w:p>
      <w:pPr>
        <w:pStyle w:val="Heading2"/>
        <w:spacing w:after="100" w:before="240"/>
      </w:pPr>
      <w:r>
        <w:rPr>
          <w:rFonts w:ascii="Arial" w:cs="Arial" w:eastAsia="Arial" w:hAnsi="Arial"/>
          <w:b/>
          <w:bCs/>
          <w:i w:val="false"/>
          <w:iCs w:val="false"/>
          <w:color w:val="003366"/>
          <w:sz w:val="26"/>
          <w:szCs w:val="26"/>
        </w:rPr>
        <w:t xml:space="preserve">7.1  Panel 1 — Historical State Map</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Six synchronised interactive candlestick charts — one per timeframe.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Every FVG rendered as a labelled translucent rectangle. Mitigated FVGs faded; active unmitigated FVGs in full colour.</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All Fibonacci grids drawn automatically — primary and counter-trend — from 2003 to present.</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Discount zones shaded green, premium zones shaded red, counter-trend zones shown in contrasting amber.</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Historical double trade pairs marked with linked arrows showing the CT entry, flip point, and primary direction exit.</w:t>
      </w:r>
    </w:p>
    <w:p>
      <w:pPr>
        <w:spacing w:after="100" w:before="0"/>
      </w:pPr>
    </w:p>
    <w:p>
      <w:pPr>
        <w:pStyle w:val="Heading2"/>
        <w:spacing w:after="100" w:before="240"/>
      </w:pPr>
      <w:r>
        <w:rPr>
          <w:rFonts w:ascii="Arial" w:cs="Arial" w:eastAsia="Arial" w:hAnsi="Arial"/>
          <w:b/>
          <w:bCs/>
          <w:i w:val="false"/>
          <w:iCs w:val="false"/>
          <w:color w:val="003366"/>
          <w:sz w:val="26"/>
          <w:szCs w:val="26"/>
        </w:rPr>
        <w:t xml:space="preserve">7.2  Panel 2 — Cascade Gate Status Board</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Live status for all 6 timeframe gates of both the primary and any active counter-trend cascade.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Each gate shows: WAITING / FVG CONFIRMED / ZONE APPROACH / SNIPER ACTIVE.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Separate status tracks for Primary Cascade and Counter-Trend Cascade displayed side by side.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Overall cascade progress: e.g., Primary 5/6 gates  |  Counter-Trend 3/6 gates.</w:t>
      </w:r>
    </w:p>
    <w:p>
      <w:pPr>
        <w:spacing w:after="100" w:before="0"/>
      </w:pPr>
    </w:p>
    <w:p>
      <w:pPr>
        <w:pStyle w:val="Heading2"/>
        <w:spacing w:after="100" w:before="240"/>
      </w:pPr>
      <w:r>
        <w:rPr>
          <w:rFonts w:ascii="Arial" w:cs="Arial" w:eastAsia="Arial" w:hAnsi="Arial"/>
          <w:b/>
          <w:bCs/>
          <w:i w:val="false"/>
          <w:iCs w:val="false"/>
          <w:color w:val="003366"/>
          <w:sz w:val="26"/>
          <w:szCs w:val="26"/>
        </w:rPr>
        <w:t xml:space="preserve">7.3  Panel 3 — Advance Signal Board</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All live and upcoming trade setups sorted by signal maturity — Macro Alert through Execute.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Double Trade pairs displayed as linked cards: CT entry → Flip Point → Primary direction.</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Each card shows: signal type, direction, gate progress, target price range, historical win rate, expected move size from 20-year backtest.</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Full signal history log with timestamps, entry prices, peak move sizes, and outcomes.</w:t>
      </w:r>
    </w:p>
    <w:p>
      <w:pPr>
        <w:spacing w:after="100" w:before="0"/>
      </w:pPr>
    </w:p>
    <w:p>
      <w:pPr>
        <w:pStyle w:val="Heading2"/>
        <w:spacing w:after="100" w:before="240"/>
      </w:pPr>
      <w:r>
        <w:rPr>
          <w:rFonts w:ascii="Arial" w:cs="Arial" w:eastAsia="Arial" w:hAnsi="Arial"/>
          <w:b/>
          <w:bCs/>
          <w:i w:val="false"/>
          <w:iCs w:val="false"/>
          <w:color w:val="003366"/>
          <w:sz w:val="26"/>
          <w:szCs w:val="26"/>
        </w:rPr>
        <w:t xml:space="preserve">7.4  Panel 4 — Live Sniper Console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SLEEP state until price ticks into the active sniper zone — activated intrabar, no close required.</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Three real-time metric gauges: Tick Velocity, Quote Imbalance, Absorption State.</w:t>
      </w:r>
    </w:p>
    <w:p>
      <w:pPr>
        <w:spacing w:after="80" w:before="80"/>
      </w:pPr>
      <w:r>
        <w:rPr>
          <w:rFonts w:ascii="Arial" w:cs="Arial" w:eastAsia="Arial" w:hAnsi="Arial"/>
          <w:b w:val="false"/>
          <w:bCs w:val="false"/>
          <w:i w:val="false"/>
          <w:iCs w:val="false"/>
          <w:color w:val="222222"/>
          <w:sz w:val="22"/>
          <w:szCs w:val="22"/>
        </w:rPr>
        <w:t xml:space="preserve">All three green: flashing </w:t>
      </w:r>
      <w:r>
        <w:rPr>
          <w:rFonts w:ascii="Arial" w:cs="Arial" w:eastAsia="Arial" w:hAnsi="Arial"/>
          <w:b/>
          <w:bCs/>
          <w:i w:val="false"/>
          <w:iCs w:val="false"/>
          <w:color w:val="1A5C2A"/>
          <w:sz w:val="22"/>
          <w:szCs w:val="22"/>
        </w:rPr>
        <w:t xml:space="preserve">EXECUTE ENTRY</w:t>
      </w:r>
      <w:r>
        <w:rPr>
          <w:rFonts w:ascii="Arial" w:cs="Arial" w:eastAsia="Arial" w:hAnsi="Arial"/>
          <w:b w:val="false"/>
          <w:bCs w:val="false"/>
          <w:i w:val="false"/>
          <w:iCs w:val="false"/>
          <w:color w:val="222222"/>
          <w:sz w:val="22"/>
          <w:szCs w:val="22"/>
        </w:rPr>
        <w:t xml:space="preserve"> with live Bid/Ask and recommended price.</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Abort states: ZONE BROKEN and ABSORPTION FAILED displayed with reason.</w:t>
      </w:r>
    </w:p>
    <w:p>
      <w:pPr>
        <w:pStyle w:val="ListParagraph"/>
        <w:numPr>
          <w:ilvl w:val="0"/>
          <w:numId w:val="2"/>
        </w:numPr>
        <w:spacing w:after="80" w:before="60"/>
      </w:pPr>
      <w:r>
        <w:rPr>
          <w:rFonts w:ascii="Arial" w:cs="Arial" w:eastAsia="Arial" w:hAnsi="Arial"/>
          <w:b w:val="false"/>
          <w:bCs w:val="false"/>
          <w:i w:val="false"/>
          <w:iCs w:val="false"/>
          <w:color w:val="222222"/>
          <w:sz w:val="22"/>
          <w:szCs w:val="22"/>
        </w:rPr>
        <w:t xml:space="preserve">Flip Signal mode: when price reaches the primary 0.5 target, console switches to FLIP STATE — displaying CT exit confirmation and primary entry simultaneously.</w:t>
      </w:r>
    </w:p>
    <w:p>
      <w:pPr>
        <w:spacing w:after="160" w:before="0"/>
      </w:pPr>
    </w:p>
    <w:p>
      <w:pPr>
        <w:pBdr>
          <w:bottom w:val="single" w:color="003366" w:sz="8" w:space="1"/>
        </w:pBdr>
        <w:spacing w:after="80" w:before="80"/>
      </w:pPr>
    </w:p>
    <w:p>
      <w:pPr>
        <w:pStyle w:val="Heading1"/>
        <w:spacing w:after="140" w:before="360"/>
      </w:pPr>
      <w:r>
        <w:rPr>
          <w:rFonts w:ascii="Arial" w:cs="Arial" w:eastAsia="Arial" w:hAnsi="Arial"/>
          <w:b/>
          <w:bCs/>
          <w:i w:val="false"/>
          <w:iCs w:val="false"/>
          <w:color w:val="003366"/>
          <w:sz w:val="32"/>
          <w:szCs w:val="32"/>
        </w:rPr>
        <w:t xml:space="preserve">8.  Development Roadmap</w:t>
      </w:r>
    </w:p>
    <w:p>
      <w:pPr>
        <w:spacing w:after="120" w:before="80"/>
        <w:jc w:val="left"/>
      </w:pPr>
      <w:r>
        <w:rPr>
          <w:rFonts w:ascii="Arial" w:cs="Arial" w:eastAsia="Arial" w:hAnsi="Arial"/>
          <w:b w:val="false"/>
          <w:bCs w:val="false"/>
          <w:i w:val="false"/>
          <w:iCs w:val="false"/>
          <w:color w:val="222222"/>
          <w:sz w:val="22"/>
          <w:szCs w:val="22"/>
        </w:rPr>
        <w:t xml:space="preserve">Four sequential build phases. Historical engine and validation before live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300"/>
        <w:gridCol w:w="1260"/>
      </w:tblGrid>
      <w:tr>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1"/>
                <w:szCs w:val="21"/>
              </w:rPr>
              <w:t xml:space="preserve">Phase</w:t>
            </w:r>
          </w:p>
        </w:tc>
        <w:tc>
          <w:tcPr>
            <w:tcW w:type="dxa" w:w="21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Name</w:t>
            </w:r>
          </w:p>
        </w:tc>
        <w:tc>
          <w:tcPr>
            <w:tcW w:type="dxa" w:w="53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Key Deliverables</w:t>
            </w:r>
          </w:p>
        </w:tc>
        <w:tc>
          <w:tcPr>
            <w:tcW w:type="dxa" w:w="12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1"/>
                <w:szCs w:val="21"/>
              </w:rPr>
              <w:t xml:space="preserve">Status</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vAlign w:val="center"/>
          </w:tcPr>
          <w:p>
            <w:pPr>
              <w:jc w:val="center"/>
            </w:pPr>
            <w:r>
              <w:rPr>
                <w:rFonts w:ascii="Arial" w:cs="Arial" w:eastAsia="Arial" w:hAnsi="Arial"/>
                <w:b/>
                <w:bCs/>
                <w:i w:val="false"/>
                <w:iCs w:val="false"/>
                <w:color w:val="003366"/>
                <w:sz w:val="22"/>
                <w:szCs w:val="22"/>
              </w:rPr>
              <w:t xml:space="preserve">1</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Data Infrastructure</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VPS provisioned · ClickHouse deployed · Dukascopy 20-year download · Tiingo WebSocket live and logging · 48-hour stability test</w:t>
            </w:r>
          </w:p>
        </w:tc>
        <w:tc>
          <w:tcPr>
            <w:tcW w:type="dxa" w:w="12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i w:val="false"/>
                <w:iCs w:val="false"/>
                <w:color w:val="1A5C2A"/>
                <w:sz w:val="20"/>
                <w:szCs w:val="20"/>
              </w:rPr>
              <w:t xml:space="preserve">Active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003366"/>
                <w:sz w:val="22"/>
                <w:szCs w:val="22"/>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FVG &amp; Double Trade Engine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OHLCV rollup · FVG detector (both directions) · Fibonacci matrix · Counter-trend grid detection · Double trade pair matching · Full historical state map rendered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555555"/>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vAlign w:val="center"/>
          </w:tcPr>
          <w:p>
            <w:pPr>
              <w:jc w:val="center"/>
            </w:pPr>
            <w:r>
              <w:rPr>
                <w:rFonts w:ascii="Arial" w:cs="Arial" w:eastAsia="Arial" w:hAnsi="Arial"/>
                <w:b/>
                <w:bCs/>
                <w:i w:val="false"/>
                <w:iCs w:val="false"/>
                <w:color w:val="003366"/>
                <w:sz w:val="22"/>
                <w:szCs w:val="22"/>
              </w:rPr>
              <w:t xml:space="preserve">3</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Signal Engine &amp; Sniper</w:t>
            </w:r>
          </w:p>
        </w:tc>
        <w:tc>
          <w:tcPr>
            <w:tcW w:type="dxa" w:w="5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Signal classification (Macro/Mid/Active/Flip) · Double trade signal cards · Tick velocity models · Iceberg absorption detector · Historical backtest with no look-ahead bias</w:t>
            </w:r>
          </w:p>
        </w:tc>
        <w:tc>
          <w:tcPr>
            <w:tcW w:type="dxa" w:w="1260"/>
            <w:tcBorders>
              <w:top w:val="single" w:color="CCCCCC" w:sz="1"/>
              <w:left w:val="single" w:color="CCCCCC" w:sz="1"/>
              <w:bottom w:val="single" w:color="CCCCCC" w:sz="1"/>
              <w:right w:val="single" w:color="CCCCCC" w:sz="1"/>
            </w:tcBorders>
            <w:shd w:fill="F2F4F7" w:val="clear"/>
            <w:tcMar>
              <w:top w:type="dxa" w:w="80"/>
              <w:left w:type="dxa" w:w="80"/>
              <w:bottom w:type="dxa" w:w="80"/>
              <w:right w:type="dxa" w:w="80"/>
            </w:tcMar>
            <w:vAlign w:val="center"/>
          </w:tcPr>
          <w:p>
            <w:pPr>
              <w:jc w:val="center"/>
            </w:pPr>
            <w:r>
              <w:rPr>
                <w:rFonts w:ascii="Arial" w:cs="Arial" w:eastAsia="Arial" w:hAnsi="Arial"/>
                <w:b/>
                <w:bCs/>
                <w:i w:val="false"/>
                <w:iCs w:val="false"/>
                <w:color w:val="555555"/>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003366"/>
                <w:sz w:val="22"/>
                <w:szCs w:val="22"/>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3366"/>
                <w:sz w:val="21"/>
                <w:szCs w:val="21"/>
              </w:rPr>
              <w:t xml:space="preserve">Ultimate Dashboard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4 panels · Primary + CT cascade status · Double trade signal board · Flip Signal mode · Live Sniper Console · Cloud deployment · Browser access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555555"/>
                <w:sz w:val="20"/>
                <w:szCs w:val="20"/>
              </w:rPr>
              <w:t xml:space="preserve">Pending</w:t>
            </w:r>
          </w:p>
        </w:tc>
      </w:tr>
    </w:tbl>
    <w:p>
      <w:pPr>
        <w:spacing w:after="200" w:before="0"/>
      </w:pPr>
    </w:p>
    <w:p>
      <w:pPr>
        <w:pBdr>
          <w:bottom w:val="single" w:color="003366" w:sz="8" w:space="1"/>
        </w:pBdr>
        <w:spacing w:after="80" w:before="80"/>
      </w:pPr>
    </w:p>
    <w:p>
      <w:pPr>
        <w:spacing w:after="120" w:before="0"/>
      </w:pPr>
    </w:p>
    <w:p>
      <w:pPr>
        <w:spacing w:after="0" w:before="0"/>
        <w:jc w:val="center"/>
      </w:pPr>
      <w:r>
        <w:rPr>
          <w:rFonts w:ascii="Arial" w:cs="Arial" w:eastAsia="Arial" w:hAnsi="Arial"/>
          <w:b w:val="false"/>
          <w:bCs w:val="false"/>
          <w:i/>
          <w:iCs/>
          <w:color w:val="555555"/>
          <w:sz w:val="18"/>
          <w:szCs w:val="18"/>
        </w:rPr>
        <w:t xml:space="preserve">IHQE v2.1  —  Project Specification  —  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2026-06-25T08:13:55.149Z</dcterms:created>
  <dcterms:modified xsi:type="dcterms:W3CDTF">2026-06-25T08:13:55.161Z</dcterms:modified>
</cp:coreProperties>
</file>

<file path=docProps/custom.xml><?xml version="1.0" encoding="utf-8"?>
<Properties xmlns="http://schemas.openxmlformats.org/officeDocument/2006/custom-properties" xmlns:vt="http://schemas.openxmlformats.org/officeDocument/2006/docPropsVTypes"/>
</file>