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This MOU is made on this 07 MAY 2025(Effective date) by and between Indel Money Limited, a company incorporated under the laws of India and having it’s registered office at KERALAand operating through it’s branch at -MAYUR VIHAR DELHI-herein referred to as IML which expression shall unless the context requires otherwise include it’s successors and permitted assigs, on one part </w:t>
      </w:r>
    </w:p>
    <w:p>
      <w:pPr>
        <w:pStyle w:val="Normal"/>
        <w:jc w:val="both"/>
        <w:rPr>
          <w:b/>
          <w:bCs/>
        </w:rPr>
      </w:pPr>
      <w:r>
        <w:rPr>
          <w:b/>
          <w:bCs/>
        </w:rPr>
        <w:t>AND</w:t>
      </w:r>
    </w:p>
    <w:p>
      <w:pPr>
        <w:pStyle w:val="Normal"/>
        <w:jc w:val="both"/>
        <w:rPr>
          <w:b/>
          <w:bCs/>
        </w:rPr>
      </w:pPr>
      <w:r>
        <w:rPr/>
        <w:t>[Company Name]</w:t>
      </w:r>
      <w:r>
        <w:rPr/>
        <w:t xml:space="preserve"> incorporated under the laws of India and having it’s registered office at </w:t>
      </w:r>
      <w:r>
        <w:rPr/>
        <w:t>[Company rgistered address]</w:t>
      </w:r>
      <w:r>
        <w:rPr/>
        <w:t xml:space="preserve"> carrying out the business of travel and tour operator directly or under implied authority and here in after referred as ‘Client’ which express shall unless it be repugnant to the context or meaning thereof, shall include its successor and assigns, on the other part. </w:t>
      </w:r>
    </w:p>
    <w:p>
      <w:pPr>
        <w:pStyle w:val="Normal"/>
        <w:jc w:val="both"/>
        <w:rPr/>
      </w:pPr>
      <w:r>
        <w:rPr/>
        <w:t xml:space="preserve">Indel Money Limited (IML) and </w:t>
      </w:r>
      <w:r>
        <w:rPr/>
        <w:t xml:space="preserve">[Company Name] </w:t>
      </w:r>
      <w:r>
        <w:rPr/>
        <w:t xml:space="preserve">are individually referred to as “Party” and collectively referred to as “Parties”. </w:t>
      </w:r>
    </w:p>
    <w:p>
      <w:pPr>
        <w:pStyle w:val="Normal"/>
        <w:jc w:val="both"/>
        <w:rPr>
          <w:b/>
          <w:bCs/>
        </w:rPr>
      </w:pPr>
      <w:r>
        <w:rPr>
          <w:b/>
          <w:bCs/>
        </w:rPr>
        <w:t xml:space="preserve">Where as </w:t>
      </w:r>
    </w:p>
    <w:p>
      <w:pPr>
        <w:pStyle w:val="ListParagraph"/>
        <w:numPr>
          <w:ilvl w:val="0"/>
          <w:numId w:val="1"/>
        </w:numPr>
        <w:jc w:val="both"/>
        <w:rPr/>
      </w:pPr>
      <w:r>
        <w:rPr/>
        <w:t xml:space="preserve">IML is an Authorised Dealer Category II Licence Holder from RBI engaged in the business of purchase, sales and remittances of foreign exchange and other related services. </w:t>
      </w:r>
    </w:p>
    <w:p>
      <w:pPr>
        <w:pStyle w:val="ListParagraph"/>
        <w:numPr>
          <w:ilvl w:val="0"/>
          <w:numId w:val="1"/>
        </w:numPr>
        <w:jc w:val="both"/>
        <w:rPr/>
      </w:pPr>
      <w:r>
        <w:rPr/>
        <w:t xml:space="preserve">LUXURY TRIPS. is engaged in the business overseas travel / tour operations. </w:t>
      </w:r>
    </w:p>
    <w:p>
      <w:pPr>
        <w:pStyle w:val="ListParagraph"/>
        <w:numPr>
          <w:ilvl w:val="0"/>
          <w:numId w:val="1"/>
        </w:numPr>
        <w:jc w:val="both"/>
        <w:rPr/>
      </w:pPr>
      <w:r>
        <w:rPr/>
        <w:t xml:space="preserve">IML has been authorized by the regulatory body, RBI to extend foreign exchange services falling under the ambit of license. </w:t>
      </w:r>
    </w:p>
    <w:p>
      <w:pPr>
        <w:pStyle w:val="ListParagraph"/>
        <w:numPr>
          <w:ilvl w:val="0"/>
          <w:numId w:val="1"/>
        </w:numPr>
        <w:rPr>
          <w:b/>
          <w:bCs/>
        </w:rPr>
      </w:pPr>
      <w:r>
        <w:rPr/>
        <w:t>LUXURY TRIPS here by agrees to appoint IML to provide foreign exchange services and other related services on the terms and conditions mentioned in the MOU.</w:t>
      </w:r>
    </w:p>
    <w:p>
      <w:pPr>
        <w:pStyle w:val="Normal"/>
        <w:jc w:val="both"/>
        <w:rPr>
          <w:b/>
          <w:bCs/>
        </w:rPr>
      </w:pPr>
      <w:r>
        <w:rPr>
          <w:b/>
          <w:bCs/>
        </w:rPr>
        <w:t>Scope Of Services</w:t>
      </w:r>
    </w:p>
    <w:p>
      <w:pPr>
        <w:pStyle w:val="ListParagraph"/>
        <w:numPr>
          <w:ilvl w:val="0"/>
          <w:numId w:val="2"/>
        </w:numPr>
        <w:jc w:val="both"/>
        <w:rPr/>
      </w:pPr>
      <w:r>
        <w:rPr/>
        <w:t xml:space="preserve">Subject to the terms and conditions of this MOU, the client hereby appoints IML to provide foreign exchange services. </w:t>
      </w:r>
    </w:p>
    <w:p>
      <w:pPr>
        <w:pStyle w:val="ListParagraph"/>
        <w:numPr>
          <w:ilvl w:val="0"/>
          <w:numId w:val="2"/>
        </w:numPr>
        <w:jc w:val="both"/>
        <w:rPr/>
      </w:pPr>
      <w:r>
        <w:rPr/>
        <w:t xml:space="preserve">IML hereby agrees to provide the services to the client as per it’s requirements from time to time, as per the standards and within the time frame, stipulated in this MOU and / or the service request, as the case may be. </w:t>
      </w:r>
    </w:p>
    <w:p>
      <w:pPr>
        <w:pStyle w:val="ListParagraph"/>
        <w:numPr>
          <w:ilvl w:val="0"/>
          <w:numId w:val="2"/>
        </w:numPr>
        <w:jc w:val="both"/>
        <w:rPr/>
      </w:pPr>
      <w:r>
        <w:rPr/>
        <w:t xml:space="preserve">The client shall provide a list of it’s authorized personnel to IML, (Authorization Letter) who are authorized to coordinate with the IML for smooth, efficient, and timely performance of the services in accordance with the terms of this MOU. The client shall immediately intimate IML in writing, if there is any change in it’s authorized representative and / or the authority granted to it’s authorized representatives. </w:t>
      </w:r>
    </w:p>
    <w:p>
      <w:pPr>
        <w:pStyle w:val="ListParagraph"/>
        <w:numPr>
          <w:ilvl w:val="0"/>
          <w:numId w:val="2"/>
        </w:numPr>
        <w:jc w:val="both"/>
        <w:rPr/>
      </w:pPr>
      <w:r>
        <w:rPr/>
        <w:t xml:space="preserve">The authorized representative of client shall send a duly filled and executed written request on email to the IML here to stating the services required to be provided along with basic details and valid KYC documents of customer, in line with AML laws to the IML. The execution of transaction would be done by the authorized representative of the IML and foreign exchange shall be handed over only to the customer identified in the relevant service request and not to any third party. </w:t>
      </w:r>
    </w:p>
    <w:p>
      <w:pPr>
        <w:pStyle w:val="ListParagraph"/>
        <w:numPr>
          <w:ilvl w:val="0"/>
          <w:numId w:val="2"/>
        </w:numPr>
        <w:jc w:val="both"/>
        <w:rPr/>
      </w:pPr>
      <w:r>
        <w:rPr/>
        <w:t xml:space="preserve">In case of any telegraphic transfers / remittances, the original copy of written service request shall be delivered to the IML on or before the date of transaction. For avoidance of doubt, it is hereby clarified that the IML shall act based on the service request received from an authorized representative only. </w:t>
      </w:r>
    </w:p>
    <w:p>
      <w:pPr>
        <w:pStyle w:val="ListParagraph"/>
        <w:numPr>
          <w:ilvl w:val="0"/>
          <w:numId w:val="2"/>
        </w:numPr>
        <w:jc w:val="both"/>
        <w:rPr/>
      </w:pPr>
      <w:r>
        <w:rPr/>
        <w:t xml:space="preserve">The client hereby agrees and acknowledges that the service provider may reject the service request for any reason as it may deemed fit, and shall be communicated to the client by IML. </w:t>
      </w:r>
    </w:p>
    <w:p>
      <w:pPr>
        <w:pStyle w:val="ListParagraph"/>
        <w:numPr>
          <w:ilvl w:val="0"/>
          <w:numId w:val="2"/>
        </w:numPr>
        <w:jc w:val="both"/>
        <w:rPr/>
      </w:pPr>
      <w:r>
        <w:rPr/>
        <w:t xml:space="preserve">In case of telegraphic transfers / remittance services, the client here by agrees to recognize the receipt of a scanned copy of TT as sufficient proof for completion of performance of the relevant service and shall not dispute performance of such service. </w:t>
      </w:r>
    </w:p>
    <w:p>
      <w:pPr>
        <w:pStyle w:val="ListParagraph"/>
        <w:numPr>
          <w:ilvl w:val="0"/>
          <w:numId w:val="2"/>
        </w:numPr>
        <w:jc w:val="both"/>
        <w:rPr/>
      </w:pPr>
      <w:r>
        <w:rPr/>
        <w:t xml:space="preserve">In case of Telegraphic Transfer ( TT ), the client shall be responsible for collecting TCS and other government taxes from their customers. Further, details of passengers / customers as provided / declared by the client on Form 2 shall be final and modification will not be allowed. </w:t>
      </w:r>
    </w:p>
    <w:p>
      <w:pPr>
        <w:pStyle w:val="ListParagraph"/>
        <w:numPr>
          <w:ilvl w:val="0"/>
          <w:numId w:val="2"/>
        </w:numPr>
        <w:jc w:val="both"/>
        <w:rPr/>
      </w:pPr>
      <w:r>
        <w:rPr/>
        <w:t xml:space="preserve">The remitting bank shall report to RBI the details of clients customers / passengers availing remittance under the LRS scheme of RBI. IML will not be liable / responsible for any query that may arise in future from regulated authorities related to LRS, TCS etc of the customer. </w:t>
      </w:r>
    </w:p>
    <w:p>
      <w:pPr>
        <w:pStyle w:val="ListParagraph"/>
        <w:numPr>
          <w:ilvl w:val="0"/>
          <w:numId w:val="2"/>
        </w:numPr>
        <w:jc w:val="both"/>
        <w:rPr/>
      </w:pPr>
      <w:r>
        <w:rPr/>
        <w:t xml:space="preserve">Client shall always during the subsistence of this relationship, agree to co-operate with IML for complying with among other all regulatory and statutory guidelines of RBI, AML, KYC, FEMA Act etc. </w:t>
      </w:r>
    </w:p>
    <w:p>
      <w:pPr>
        <w:pStyle w:val="ListParagraph"/>
        <w:numPr>
          <w:ilvl w:val="0"/>
          <w:numId w:val="2"/>
        </w:numPr>
        <w:jc w:val="both"/>
        <w:rPr/>
      </w:pPr>
      <w:r>
        <w:rPr/>
        <w:t xml:space="preserve">IML will provide foreign exchange services only against clear fund in the designated bank account provided by IML and on receipt of transaction documents as mentioned in </w:t>
      </w:r>
      <w:r>
        <w:rPr>
          <w:b/>
          <w:bCs/>
        </w:rPr>
        <w:t>Annexure A</w:t>
      </w:r>
      <w:r>
        <w:rPr/>
        <w:t xml:space="preserve"> or specified from time to time. </w:t>
      </w:r>
    </w:p>
    <w:p>
      <w:pPr>
        <w:pStyle w:val="ListParagraph"/>
        <w:numPr>
          <w:ilvl w:val="0"/>
          <w:numId w:val="2"/>
        </w:numPr>
        <w:jc w:val="both"/>
        <w:rPr/>
      </w:pPr>
      <w:r>
        <w:rPr/>
        <w:t xml:space="preserve">If payments are not received, IML shall not carry on the transaction and in this event IML shall not be liable for any losses, costs, charges or expenses incurred by the client. </w:t>
      </w:r>
    </w:p>
    <w:p>
      <w:pPr>
        <w:pStyle w:val="ListParagraph"/>
        <w:numPr>
          <w:ilvl w:val="0"/>
          <w:numId w:val="2"/>
        </w:numPr>
        <w:jc w:val="both"/>
        <w:rPr/>
      </w:pPr>
      <w:r>
        <w:rPr/>
        <w:t xml:space="preserve">The provisions of this MOU shall survive the termination or expiration of this MOU for a period of 5 yeas from such expiration or earlier termination and shall be complied with the parties in the same manner as if the present MOU is valid and in force even after termination or expiry. </w:t>
      </w:r>
    </w:p>
    <w:p>
      <w:pPr>
        <w:pStyle w:val="ListParagraph"/>
        <w:numPr>
          <w:ilvl w:val="0"/>
          <w:numId w:val="2"/>
        </w:numPr>
        <w:jc w:val="both"/>
        <w:rPr/>
      </w:pPr>
      <w:r>
        <w:rPr/>
        <w:t xml:space="preserve">Each party shall, indemnify, defend and hold harmless the other party, its affiliates and it’s officers, directors, employees, representative, agent representative directors, and assigns from and against any liability or any other loss that may occur, arising from or relating to – </w:t>
      </w:r>
    </w:p>
    <w:p>
      <w:pPr>
        <w:pStyle w:val="ListParagraph"/>
        <w:numPr>
          <w:ilvl w:val="0"/>
          <w:numId w:val="7"/>
        </w:numPr>
        <w:jc w:val="both"/>
        <w:rPr/>
      </w:pPr>
      <w:r>
        <w:rPr/>
        <w:t xml:space="preserve">A breach of any of the terms, conditions, covenants, representations, undertakings, obligations, or warranties under this MOU. </w:t>
      </w:r>
    </w:p>
    <w:p>
      <w:pPr>
        <w:pStyle w:val="ListParagraph"/>
        <w:numPr>
          <w:ilvl w:val="0"/>
          <w:numId w:val="7"/>
        </w:numPr>
        <w:jc w:val="both"/>
        <w:rPr/>
      </w:pPr>
      <w:r>
        <w:rPr/>
        <w:t xml:space="preserve">The acts, errors, representations, misrepresentations, wilful misconduct or negligence of the party or its employees, subcontractors and agents in performance of it’s obligations under this MOU.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bCs/>
        </w:rPr>
      </w:pPr>
      <w:r>
        <w:rPr>
          <w:b/>
          <w:bCs/>
        </w:rPr>
      </w:r>
    </w:p>
    <w:p>
      <w:pPr>
        <w:pStyle w:val="Normal"/>
        <w:jc w:val="both"/>
        <w:rPr>
          <w:b/>
          <w:bCs/>
        </w:rPr>
      </w:pPr>
      <w:r>
        <w:rPr>
          <w:b/>
          <w:bCs/>
        </w:rPr>
        <w:t>Limitations of Liability</w:t>
      </w:r>
    </w:p>
    <w:p>
      <w:pPr>
        <w:pStyle w:val="Normal"/>
        <w:jc w:val="both"/>
        <w:rPr/>
      </w:pPr>
      <w:r>
        <w:rPr/>
        <w:t xml:space="preserve">IML shall not be liable for any of the following events: </w:t>
      </w:r>
    </w:p>
    <w:p>
      <w:pPr>
        <w:pStyle w:val="ListParagraph"/>
        <w:numPr>
          <w:ilvl w:val="0"/>
          <w:numId w:val="3"/>
        </w:numPr>
        <w:jc w:val="both"/>
        <w:rPr/>
      </w:pPr>
      <w:r>
        <w:rPr/>
        <w:t>Non catering of / rejecting any service request in terms of this MOU</w:t>
      </w:r>
    </w:p>
    <w:p>
      <w:pPr>
        <w:pStyle w:val="ListParagraph"/>
        <w:numPr>
          <w:ilvl w:val="0"/>
          <w:numId w:val="3"/>
        </w:numPr>
        <w:jc w:val="both"/>
        <w:rPr/>
      </w:pPr>
      <w:r>
        <w:rPr/>
        <w:t xml:space="preserve">Delays in the disbursement of funds remitted to overseas beneficiary including the withholding of such funds by the correspondent and / or beneficiary bank. </w:t>
      </w:r>
    </w:p>
    <w:p>
      <w:pPr>
        <w:pStyle w:val="ListParagraph"/>
        <w:numPr>
          <w:ilvl w:val="0"/>
          <w:numId w:val="3"/>
        </w:numPr>
        <w:jc w:val="both"/>
        <w:rPr/>
      </w:pPr>
      <w:r>
        <w:rPr/>
        <w:t xml:space="preserve">Intermediary bank charges may be levied by the correspondent and / or beneficiary bank, which may vary from banks to banks. </w:t>
      </w:r>
    </w:p>
    <w:p>
      <w:pPr>
        <w:pStyle w:val="ListParagraph"/>
        <w:numPr>
          <w:ilvl w:val="0"/>
          <w:numId w:val="3"/>
        </w:numPr>
        <w:jc w:val="both"/>
        <w:rPr/>
      </w:pPr>
      <w:r>
        <w:rPr/>
        <w:t xml:space="preserve">Incorrect information submitted by the client, any charges levied by the beneficiary bank or exchange loss incurred for overseas remittances. </w:t>
      </w:r>
    </w:p>
    <w:p>
      <w:pPr>
        <w:pStyle w:val="ListParagraph"/>
        <w:numPr>
          <w:ilvl w:val="0"/>
          <w:numId w:val="3"/>
        </w:numPr>
        <w:jc w:val="both"/>
        <w:rPr/>
      </w:pPr>
      <w:r>
        <w:rPr/>
        <w:t xml:space="preserve">Failure of the IML to provide telegraphic transfer or overseas remittance services requested by the client on account of refusal by the remitting bank to undertake such transaction. </w:t>
      </w:r>
    </w:p>
    <w:p>
      <w:pPr>
        <w:pStyle w:val="Normal"/>
        <w:jc w:val="both"/>
        <w:rPr>
          <w:b/>
          <w:bCs/>
        </w:rPr>
      </w:pPr>
      <w:r>
        <w:rPr>
          <w:b/>
          <w:bCs/>
        </w:rPr>
      </w:r>
    </w:p>
    <w:p>
      <w:pPr>
        <w:pStyle w:val="Normal"/>
        <w:jc w:val="both"/>
        <w:rPr>
          <w:b/>
          <w:bCs/>
        </w:rPr>
      </w:pPr>
      <w:r>
        <w:rPr>
          <w:b/>
          <w:bCs/>
        </w:rPr>
        <w:t>Know your Customer (KYC) and Anti Money Laundering (AML) requirement.</w:t>
      </w:r>
    </w:p>
    <w:p>
      <w:pPr>
        <w:pStyle w:val="Normal"/>
        <w:jc w:val="both"/>
        <w:rPr>
          <w:b/>
          <w:bCs/>
        </w:rPr>
      </w:pPr>
      <w:r>
        <w:rPr>
          <w:b/>
          <w:bCs/>
        </w:rPr>
      </w:r>
    </w:p>
    <w:p>
      <w:pPr>
        <w:pStyle w:val="ListParagraph"/>
        <w:numPr>
          <w:ilvl w:val="0"/>
          <w:numId w:val="4"/>
        </w:numPr>
        <w:jc w:val="both"/>
        <w:rPr/>
      </w:pPr>
      <w:r>
        <w:rPr/>
        <w:t xml:space="preserve">In performing services under this MOU, the client shall provide IML with KYC documents based on the type of legal entity. IML will communicate to client the list of documents required for onboarding the client. </w:t>
      </w:r>
    </w:p>
    <w:p>
      <w:pPr>
        <w:pStyle w:val="ListParagraph"/>
        <w:numPr>
          <w:ilvl w:val="0"/>
          <w:numId w:val="4"/>
        </w:numPr>
        <w:jc w:val="both"/>
        <w:rPr/>
      </w:pPr>
      <w:r>
        <w:rPr/>
        <w:t xml:space="preserve">The client shall immediately intimate IML in writing, if any change in the KYC documents and authority granted to it’s authorized personnel. </w:t>
      </w:r>
    </w:p>
    <w:p>
      <w:pPr>
        <w:pStyle w:val="ListParagraph"/>
        <w:numPr>
          <w:ilvl w:val="0"/>
          <w:numId w:val="4"/>
        </w:numPr>
        <w:jc w:val="both"/>
        <w:rPr/>
      </w:pPr>
      <w:r>
        <w:rPr/>
        <w:t xml:space="preserve">The client will furnish any further documents as required by the regulatory bodies like RBI and / or under FEMA act as and when requested. </w:t>
      </w:r>
    </w:p>
    <w:p>
      <w:pPr>
        <w:pStyle w:val="ListParagraph"/>
        <w:numPr>
          <w:ilvl w:val="0"/>
          <w:numId w:val="4"/>
        </w:numPr>
        <w:jc w:val="both"/>
        <w:rPr/>
      </w:pPr>
      <w:r>
        <w:rPr/>
        <w:t xml:space="preserve">The client and it’s employees will use such foreign exchange released by IML to legitimate purposes only. </w:t>
      </w:r>
    </w:p>
    <w:p>
      <w:pPr>
        <w:pStyle w:val="ListParagraph"/>
        <w:numPr>
          <w:ilvl w:val="0"/>
          <w:numId w:val="4"/>
        </w:numPr>
        <w:jc w:val="both"/>
        <w:rPr/>
      </w:pPr>
      <w:r>
        <w:rPr/>
        <w:t xml:space="preserve">In case of client holds any title, permission, certification to perform the business as travel agent or tour operator or it’s intermediary such as IATA certification, licenses, etc, then any revocation thereof shall be intimated by the client to IML. </w:t>
      </w:r>
    </w:p>
    <w:p>
      <w:pPr>
        <w:pStyle w:val="Normal"/>
        <w:jc w:val="both"/>
        <w:rPr/>
      </w:pPr>
      <w:r>
        <w:rPr/>
      </w:r>
    </w:p>
    <w:p>
      <w:pPr>
        <w:pStyle w:val="Normal"/>
        <w:jc w:val="both"/>
        <w:rPr>
          <w:b/>
          <w:bCs/>
        </w:rPr>
      </w:pPr>
      <w:r>
        <w:rPr>
          <w:b/>
          <w:bCs/>
        </w:rPr>
        <w:t>Term &amp; Termination</w:t>
      </w:r>
    </w:p>
    <w:p>
      <w:pPr>
        <w:pStyle w:val="ListParagraph"/>
        <w:numPr>
          <w:ilvl w:val="0"/>
          <w:numId w:val="5"/>
        </w:numPr>
        <w:jc w:val="both"/>
        <w:rPr/>
      </w:pPr>
      <w:r>
        <w:rPr/>
        <w:t xml:space="preserve">The term of the MOU shall commence on “Effective Date” and shall continue for a term (the ‘Initial Term’) of two years (2 years) which shall be renewed automatically for successive one year (1year) after the initial term (each a “Renewal Term”) unless no less than thirty (30) days notice in writing is given by either party terminating the MOU and if no such notice is given by either party, the term will be extended for a further period of one (1) year. The initial term and each renewal term shall be referred to herein collectively as the “Term”. Either party can terminate this MOU by giving thirty (30) days days prior written notice to the other party without assigning any reason. </w:t>
      </w:r>
    </w:p>
    <w:p>
      <w:pPr>
        <w:pStyle w:val="Normal"/>
        <w:jc w:val="both"/>
        <w:rPr/>
      </w:pPr>
      <w:r>
        <w:rPr/>
      </w:r>
    </w:p>
    <w:p>
      <w:pPr>
        <w:pStyle w:val="ListParagraph"/>
        <w:numPr>
          <w:ilvl w:val="0"/>
          <w:numId w:val="5"/>
        </w:numPr>
        <w:jc w:val="both"/>
        <w:rPr/>
      </w:pPr>
      <w:r>
        <w:rPr/>
        <w:t xml:space="preserve">Notwithstanding anything contained herein, IML shall be entitled to terminate this MOU forthwith in the event of contravention or failure in complying with the provisions of this MOU, the FEMA Act 1999, the regulations framed there under, the prevailing RBI regulations regarding money changing, AML guidelines, KYC policy, as prescribed by RBI from time to time. </w:t>
      </w:r>
    </w:p>
    <w:p>
      <w:pPr>
        <w:pStyle w:val="ListParagraph"/>
        <w:jc w:val="both"/>
        <w:rPr/>
      </w:pPr>
      <w:r>
        <w:rPr/>
      </w:r>
    </w:p>
    <w:p>
      <w:pPr>
        <w:pStyle w:val="ListParagraph"/>
        <w:numPr>
          <w:ilvl w:val="0"/>
          <w:numId w:val="5"/>
        </w:numPr>
        <w:jc w:val="both"/>
        <w:rPr/>
      </w:pPr>
      <w:r>
        <w:rPr/>
        <w:t xml:space="preserve">IML shall terminate this MOU promptly without any notice if any proprietor, Partner, Director, Owner, Autorised Person etc is / are likely to be involved in illegal / criminal activity. </w:t>
      </w:r>
    </w:p>
    <w:p>
      <w:pPr>
        <w:pStyle w:val="ListParagraph"/>
        <w:jc w:val="both"/>
        <w:rPr/>
      </w:pPr>
      <w:r>
        <w:rPr/>
      </w:r>
    </w:p>
    <w:p>
      <w:pPr>
        <w:pStyle w:val="Normal"/>
        <w:jc w:val="both"/>
        <w:rPr/>
      </w:pPr>
      <w:r>
        <w:rPr/>
      </w:r>
    </w:p>
    <w:p>
      <w:pPr>
        <w:pStyle w:val="Normal"/>
        <w:jc w:val="both"/>
        <w:rPr/>
      </w:pPr>
      <w:r>
        <w:rPr/>
        <w:t xml:space="preserve">In Witness whereof, the parties to this MOU have signed and executed this MOU on the date and day first above written in the presence of their respective witnesses. </w:t>
      </w:r>
    </w:p>
    <w:p>
      <w:pPr>
        <w:pStyle w:val="Normal"/>
        <w:jc w:val="both"/>
        <w:rPr/>
      </w:pPr>
      <w:r>
        <w:rPr/>
      </w:r>
    </w:p>
    <w:p>
      <w:pPr>
        <w:pStyle w:val="Normal"/>
        <w:jc w:val="both"/>
        <w:rPr/>
      </w:pPr>
      <w:r>
        <w:rPr/>
        <w:t xml:space="preserve">For and on behalf of </w:t>
        <w:tab/>
        <w:tab/>
        <w:tab/>
        <w:tab/>
        <w:tab/>
        <w:tab/>
        <w:t xml:space="preserve">For and on behalf of </w:t>
      </w:r>
    </w:p>
    <w:p>
      <w:pPr>
        <w:pStyle w:val="Normal"/>
        <w:jc w:val="both"/>
        <w:rPr/>
      </w:pPr>
      <w:r>
        <w:rPr/>
      </w:r>
    </w:p>
    <w:p>
      <w:pPr>
        <w:pStyle w:val="Normal"/>
        <w:jc w:val="both"/>
        <w:rPr/>
      </w:pPr>
      <w:r>
        <w:rPr/>
        <w:t xml:space="preserve">Indel Money Limited </w:t>
        <w:tab/>
        <w:tab/>
        <w:tab/>
        <w:tab/>
        <w:tab/>
        <w:tab/>
      </w:r>
    </w:p>
    <w:p>
      <w:pPr>
        <w:pStyle w:val="Normal"/>
        <w:ind w:firstLine="720" w:start="2880"/>
        <w:jc w:val="center"/>
        <w:rPr/>
      </w:pPr>
      <w:r>
        <w:rPr/>
        <w:t xml:space="preserve">                          </w:t>
      </w:r>
      <w:r>
        <w:rPr/>
        <w:tab/>
        <w:tab/>
        <w:tab/>
        <w:tab/>
        <w:tab/>
        <w:tab/>
        <w:tab/>
        <w:t xml:space="preserve"> </w:t>
      </w:r>
    </w:p>
    <w:p>
      <w:pPr>
        <w:pStyle w:val="Normal"/>
        <w:rPr/>
      </w:pPr>
      <w:r>
        <w:rPr/>
        <w:t>Name:</w:t>
        <w:tab/>
        <w:tab/>
        <w:tab/>
        <w:tab/>
        <w:tab/>
        <w:tab/>
        <w:tab/>
        <w:tab/>
        <w:t xml:space="preserve">Name: </w:t>
      </w:r>
    </w:p>
    <w:p>
      <w:pPr>
        <w:pStyle w:val="Normal"/>
        <w:rPr/>
      </w:pPr>
      <w:r>
        <w:rPr/>
        <w:t>Designation:</w:t>
        <w:tab/>
        <w:tab/>
        <w:tab/>
        <w:tab/>
        <w:tab/>
        <w:tab/>
        <w:tab/>
        <w:t>Designatio</w:t>
      </w:r>
      <w:r>
        <w:rPr/>
        <w:t>n:</w:t>
      </w:r>
    </w:p>
    <w:p>
      <w:pPr>
        <w:pStyle w:val="Normal"/>
        <w:rPr/>
      </w:pPr>
      <w:r>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t>Annexure A – Tour Remittance Transaction Documents</w:t>
      </w:r>
    </w:p>
    <w:p>
      <w:pPr>
        <w:pStyle w:val="Normal"/>
        <w:rPr/>
      </w:pPr>
      <w:r>
        <w:rPr/>
      </w:r>
    </w:p>
    <w:p>
      <w:pPr>
        <w:pStyle w:val="ListParagraph"/>
        <w:numPr>
          <w:ilvl w:val="0"/>
          <w:numId w:val="6"/>
        </w:numPr>
        <w:rPr/>
      </w:pPr>
      <w:r>
        <w:rPr/>
        <w:t xml:space="preserve">Form A2 and Application cum declaration signed by the Authorised signatory. </w:t>
      </w:r>
    </w:p>
    <w:p>
      <w:pPr>
        <w:pStyle w:val="ListParagraph"/>
        <w:numPr>
          <w:ilvl w:val="0"/>
          <w:numId w:val="6"/>
        </w:numPr>
        <w:rPr/>
      </w:pPr>
      <w:r>
        <w:rPr/>
        <w:t xml:space="preserve">Attested copy of Invoice from overseas beneficiary. </w:t>
      </w:r>
    </w:p>
    <w:p>
      <w:pPr>
        <w:pStyle w:val="ListParagraph"/>
        <w:numPr>
          <w:ilvl w:val="0"/>
          <w:numId w:val="6"/>
        </w:numPr>
        <w:rPr/>
      </w:pPr>
      <w:r>
        <w:rPr/>
        <w:t xml:space="preserve">List of passengers in xl sheet for whom the remittance is being processed. </w:t>
      </w:r>
    </w:p>
    <w:p>
      <w:pPr>
        <w:pStyle w:val="ListParagraph"/>
        <w:numPr>
          <w:ilvl w:val="0"/>
          <w:numId w:val="6"/>
        </w:numPr>
        <w:rPr/>
      </w:pPr>
      <w:r>
        <w:rPr/>
        <w:t xml:space="preserve">Self attested passport copies and PAN copies of passenger travelling abroad. </w:t>
      </w:r>
    </w:p>
    <w:p>
      <w:pPr>
        <w:pStyle w:val="ListParagraph"/>
        <w:numPr>
          <w:ilvl w:val="0"/>
          <w:numId w:val="6"/>
        </w:numPr>
        <w:rPr/>
      </w:pPr>
      <w:r>
        <w:rPr/>
        <w:t>Air ticket copies and visa copies of passengers travelling abroad</w:t>
      </w:r>
    </w:p>
    <w:p>
      <w:pPr>
        <w:pStyle w:val="ListParagraph"/>
        <w:numPr>
          <w:ilvl w:val="0"/>
          <w:numId w:val="6"/>
        </w:numPr>
        <w:rPr/>
      </w:pPr>
      <w:r>
        <w:rPr/>
        <w:t xml:space="preserve">TCS declaration </w:t>
      </w:r>
    </w:p>
    <w:p>
      <w:pPr>
        <w:pStyle w:val="ListParagraph"/>
        <w:numPr>
          <w:ilvl w:val="0"/>
          <w:numId w:val="6"/>
        </w:numPr>
        <w:rPr/>
      </w:pPr>
      <w:r>
        <w:rPr/>
        <w:t xml:space="preserve">Any other documentation as may be required by the remitting bank.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a43cd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43cd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43cd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43cd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43cd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43cd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43cd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43cd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43cd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3cd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43cd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43cd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43cd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43cd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43cd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43cd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43cd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43cd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43cd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43cd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43cd3"/>
    <w:rPr>
      <w:i/>
      <w:iCs/>
      <w:color w:themeColor="text1" w:themeTint="bf" w:val="404040"/>
    </w:rPr>
  </w:style>
  <w:style w:type="character" w:styleId="IntenseEmphasis">
    <w:name w:val="Intense Emphasis"/>
    <w:basedOn w:val="DefaultParagraphFont"/>
    <w:uiPriority w:val="21"/>
    <w:qFormat/>
    <w:rsid w:val="00a43cd3"/>
    <w:rPr>
      <w:i/>
      <w:iCs/>
      <w:color w:themeColor="accent1" w:themeShade="bf" w:val="0F4761"/>
    </w:rPr>
  </w:style>
  <w:style w:type="character" w:styleId="IntenseQuoteChar" w:customStyle="1">
    <w:name w:val="Intense Quote Char"/>
    <w:basedOn w:val="DefaultParagraphFont"/>
    <w:link w:val="IntenseQuote"/>
    <w:uiPriority w:val="30"/>
    <w:qFormat/>
    <w:rsid w:val="00a43cd3"/>
    <w:rPr>
      <w:i/>
      <w:iCs/>
      <w:color w:themeColor="accent1" w:themeShade="bf" w:val="0F4761"/>
    </w:rPr>
  </w:style>
  <w:style w:type="character" w:styleId="IntenseReference">
    <w:name w:val="Intense Reference"/>
    <w:basedOn w:val="DefaultParagraphFont"/>
    <w:uiPriority w:val="32"/>
    <w:qFormat/>
    <w:rsid w:val="00a43cd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43cd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43cd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43cd3"/>
    <w:pPr>
      <w:spacing w:before="160" w:after="160"/>
      <w:jc w:val="center"/>
    </w:pPr>
    <w:rPr>
      <w:i/>
      <w:iCs/>
      <w:color w:themeColor="text1" w:themeTint="bf" w:val="404040"/>
    </w:rPr>
  </w:style>
  <w:style w:type="paragraph" w:styleId="ListParagraph">
    <w:name w:val="List Paragraph"/>
    <w:basedOn w:val="Normal"/>
    <w:uiPriority w:val="34"/>
    <w:qFormat/>
    <w:rsid w:val="00a43cd3"/>
    <w:pPr>
      <w:spacing w:before="0" w:after="160"/>
      <w:ind w:start="720"/>
      <w:contextualSpacing/>
    </w:pPr>
    <w:rPr/>
  </w:style>
  <w:style w:type="paragraph" w:styleId="IntenseQuote">
    <w:name w:val="Intense Quote"/>
    <w:basedOn w:val="Normal"/>
    <w:next w:val="Normal"/>
    <w:link w:val="IntenseQuoteChar"/>
    <w:uiPriority w:val="30"/>
    <w:qFormat/>
    <w:rsid w:val="00a43cd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LibreOffice/25.8.2.2$Windows_X86_64 LibreOffice_project/d401f2107ccab8f924a8e2df40f573aab7605b6f</Application>
  <AppVersion>15.0000</AppVersion>
  <Pages>5</Pages>
  <Words>1534</Words>
  <Characters>7752</Characters>
  <CharactersWithSpaces>9298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2024-08-27T09:33:00Z</dcterms:created>
  <dc:creator>Pramod P R</dc:creator>
  <dc:description/>
  <dc:language>en-IN</dc:language>
  <cp:lastModifiedBy/>
  <dcterms:modified xsi:type="dcterms:W3CDTF">2025-11-07T15:03:25Z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