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56F3" w:rsidRDefault="00000000">
      <w:pPr>
        <w:pStyle w:val="BodyText"/>
        <w:spacing w:before="33" w:line="256" w:lineRule="auto"/>
        <w:ind w:left="3122" w:right="3263" w:hanging="1"/>
        <w:jc w:val="center"/>
      </w:pPr>
      <w:r>
        <w:t>Project Design Phase Proposed</w:t>
      </w:r>
      <w:r>
        <w:rPr>
          <w:spacing w:val="-14"/>
        </w:rPr>
        <w:t xml:space="preserve"> </w:t>
      </w:r>
      <w:r>
        <w:t>Solution</w:t>
      </w:r>
      <w:r>
        <w:rPr>
          <w:spacing w:val="-14"/>
        </w:rPr>
        <w:t xml:space="preserve"> </w:t>
      </w:r>
      <w:r>
        <w:t>Template</w:t>
      </w:r>
    </w:p>
    <w:p w:rsidR="005956F3" w:rsidRDefault="005956F3">
      <w:pPr>
        <w:spacing w:before="51"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4337"/>
      </w:tblGrid>
      <w:tr w:rsidR="005956F3">
        <w:trPr>
          <w:trHeight w:val="268"/>
        </w:trPr>
        <w:tc>
          <w:tcPr>
            <w:tcW w:w="4695" w:type="dxa"/>
          </w:tcPr>
          <w:p w:rsidR="005956F3" w:rsidRDefault="00000000">
            <w:pPr>
              <w:pStyle w:val="TableParagraph"/>
              <w:spacing w:line="248" w:lineRule="exact"/>
              <w:ind w:left="107"/>
            </w:pPr>
            <w:r>
              <w:rPr>
                <w:spacing w:val="-4"/>
              </w:rPr>
              <w:t>Date</w:t>
            </w:r>
          </w:p>
        </w:tc>
        <w:tc>
          <w:tcPr>
            <w:tcW w:w="4337" w:type="dxa"/>
          </w:tcPr>
          <w:p w:rsidR="005956F3" w:rsidRDefault="00000000">
            <w:pPr>
              <w:pStyle w:val="TableParagraph"/>
              <w:spacing w:line="248" w:lineRule="exact"/>
            </w:pPr>
            <w:r>
              <w:t>15</w:t>
            </w:r>
            <w:r>
              <w:rPr>
                <w:spacing w:val="-7"/>
              </w:rPr>
              <w:t xml:space="preserve"> </w:t>
            </w:r>
            <w:r>
              <w:t>February</w:t>
            </w:r>
            <w:r>
              <w:rPr>
                <w:spacing w:val="-5"/>
              </w:rPr>
              <w:t xml:space="preserve"> </w:t>
            </w:r>
            <w:r>
              <w:rPr>
                <w:spacing w:val="-4"/>
              </w:rPr>
              <w:t>2025</w:t>
            </w:r>
          </w:p>
        </w:tc>
      </w:tr>
      <w:tr w:rsidR="005956F3">
        <w:trPr>
          <w:trHeight w:val="268"/>
        </w:trPr>
        <w:tc>
          <w:tcPr>
            <w:tcW w:w="4695" w:type="dxa"/>
          </w:tcPr>
          <w:p w:rsidR="005956F3" w:rsidRDefault="00000000">
            <w:pPr>
              <w:pStyle w:val="TableParagraph"/>
              <w:spacing w:line="248" w:lineRule="exact"/>
              <w:ind w:left="107"/>
            </w:pPr>
            <w:r>
              <w:t>Team</w:t>
            </w:r>
            <w:r>
              <w:rPr>
                <w:spacing w:val="-2"/>
              </w:rPr>
              <w:t xml:space="preserve"> </w:t>
            </w:r>
            <w:r>
              <w:rPr>
                <w:spacing w:val="-5"/>
              </w:rPr>
              <w:t>ID</w:t>
            </w:r>
          </w:p>
        </w:tc>
        <w:tc>
          <w:tcPr>
            <w:tcW w:w="4337" w:type="dxa"/>
          </w:tcPr>
          <w:p w:rsidR="005956F3" w:rsidRDefault="00000000">
            <w:pPr>
              <w:pStyle w:val="TableParagraph"/>
              <w:spacing w:line="248" w:lineRule="exact"/>
            </w:pPr>
            <w:r>
              <w:rPr>
                <w:spacing w:val="-2"/>
              </w:rPr>
              <w:t>PNT2025TMID0</w:t>
            </w:r>
            <w:r w:rsidR="004E5A8B">
              <w:rPr>
                <w:spacing w:val="-2"/>
              </w:rPr>
              <w:t>2539</w:t>
            </w:r>
          </w:p>
        </w:tc>
      </w:tr>
      <w:tr w:rsidR="005956F3">
        <w:trPr>
          <w:trHeight w:val="537"/>
        </w:trPr>
        <w:tc>
          <w:tcPr>
            <w:tcW w:w="4695" w:type="dxa"/>
          </w:tcPr>
          <w:p w:rsidR="005956F3" w:rsidRDefault="00000000">
            <w:pPr>
              <w:pStyle w:val="TableParagraph"/>
              <w:spacing w:line="268" w:lineRule="exact"/>
              <w:ind w:left="107"/>
            </w:pPr>
            <w:r>
              <w:t>Project</w:t>
            </w:r>
            <w:r>
              <w:rPr>
                <w:spacing w:val="-8"/>
              </w:rPr>
              <w:t xml:space="preserve"> </w:t>
            </w:r>
            <w:r>
              <w:rPr>
                <w:spacing w:val="-4"/>
              </w:rPr>
              <w:t>Name</w:t>
            </w:r>
          </w:p>
        </w:tc>
        <w:tc>
          <w:tcPr>
            <w:tcW w:w="4337" w:type="dxa"/>
          </w:tcPr>
          <w:p w:rsidR="005956F3" w:rsidRDefault="00000000">
            <w:pPr>
              <w:pStyle w:val="TableParagraph"/>
              <w:spacing w:line="268" w:lineRule="exact"/>
            </w:pPr>
            <w:r>
              <w:t>Global</w:t>
            </w:r>
            <w:r>
              <w:rPr>
                <w:spacing w:val="-6"/>
              </w:rPr>
              <w:t xml:space="preserve"> </w:t>
            </w:r>
            <w:r>
              <w:t>Malnutrition</w:t>
            </w:r>
            <w:r>
              <w:rPr>
                <w:spacing w:val="-8"/>
              </w:rPr>
              <w:t xml:space="preserve"> </w:t>
            </w:r>
            <w:r>
              <w:t>Trends:</w:t>
            </w:r>
            <w:r>
              <w:rPr>
                <w:spacing w:val="-4"/>
              </w:rPr>
              <w:t xml:space="preserve"> </w:t>
            </w:r>
            <w:r>
              <w:t>A</w:t>
            </w:r>
            <w:r>
              <w:rPr>
                <w:spacing w:val="-6"/>
              </w:rPr>
              <w:t xml:space="preserve"> </w:t>
            </w:r>
            <w:r>
              <w:t>Power</w:t>
            </w:r>
            <w:r>
              <w:rPr>
                <w:spacing w:val="-5"/>
              </w:rPr>
              <w:t xml:space="preserve"> BI</w:t>
            </w:r>
          </w:p>
          <w:p w:rsidR="005956F3" w:rsidRDefault="00000000">
            <w:pPr>
              <w:pStyle w:val="TableParagraph"/>
              <w:spacing w:line="249" w:lineRule="exact"/>
            </w:pPr>
            <w:r>
              <w:t>Analysis</w:t>
            </w:r>
            <w:r>
              <w:rPr>
                <w:spacing w:val="-14"/>
              </w:rPr>
              <w:t xml:space="preserve"> </w:t>
            </w:r>
            <w:r>
              <w:t>(1983-</w:t>
            </w:r>
            <w:r>
              <w:rPr>
                <w:spacing w:val="-4"/>
              </w:rPr>
              <w:t>2019)</w:t>
            </w:r>
          </w:p>
        </w:tc>
      </w:tr>
      <w:tr w:rsidR="005956F3">
        <w:trPr>
          <w:trHeight w:val="268"/>
        </w:trPr>
        <w:tc>
          <w:tcPr>
            <w:tcW w:w="4695" w:type="dxa"/>
          </w:tcPr>
          <w:p w:rsidR="005956F3" w:rsidRDefault="00000000">
            <w:pPr>
              <w:pStyle w:val="TableParagraph"/>
              <w:spacing w:line="248" w:lineRule="exact"/>
              <w:ind w:left="107"/>
            </w:pPr>
            <w:r>
              <w:t>Maximum</w:t>
            </w:r>
            <w:r>
              <w:rPr>
                <w:spacing w:val="-6"/>
              </w:rPr>
              <w:t xml:space="preserve"> </w:t>
            </w:r>
            <w:r>
              <w:rPr>
                <w:spacing w:val="-2"/>
              </w:rPr>
              <w:t>Marks</w:t>
            </w:r>
          </w:p>
        </w:tc>
        <w:tc>
          <w:tcPr>
            <w:tcW w:w="4337" w:type="dxa"/>
          </w:tcPr>
          <w:p w:rsidR="005956F3" w:rsidRDefault="00000000">
            <w:pPr>
              <w:pStyle w:val="TableParagraph"/>
              <w:spacing w:line="248" w:lineRule="exact"/>
            </w:pPr>
            <w:r>
              <w:t xml:space="preserve">2 </w:t>
            </w:r>
            <w:r>
              <w:rPr>
                <w:spacing w:val="-2"/>
              </w:rPr>
              <w:t>Marks</w:t>
            </w:r>
          </w:p>
        </w:tc>
      </w:tr>
    </w:tbl>
    <w:p w:rsidR="005956F3" w:rsidRDefault="005956F3">
      <w:pPr>
        <w:spacing w:before="182"/>
        <w:rPr>
          <w:b/>
        </w:rPr>
      </w:pPr>
    </w:p>
    <w:p w:rsidR="005956F3" w:rsidRDefault="00000000">
      <w:pPr>
        <w:spacing w:before="1"/>
        <w:ind w:left="23"/>
        <w:rPr>
          <w:b/>
        </w:rPr>
      </w:pPr>
      <w:r>
        <w:rPr>
          <w:b/>
        </w:rPr>
        <w:t>Proposed</w:t>
      </w:r>
      <w:r>
        <w:rPr>
          <w:b/>
          <w:spacing w:val="-8"/>
        </w:rPr>
        <w:t xml:space="preserve"> </w:t>
      </w:r>
      <w:r>
        <w:rPr>
          <w:b/>
        </w:rPr>
        <w:t>Solution</w:t>
      </w:r>
      <w:r>
        <w:rPr>
          <w:b/>
          <w:spacing w:val="-8"/>
        </w:rPr>
        <w:t xml:space="preserve"> </w:t>
      </w:r>
      <w:r>
        <w:rPr>
          <w:b/>
          <w:spacing w:val="-2"/>
        </w:rPr>
        <w:t>Template:</w:t>
      </w:r>
    </w:p>
    <w:p w:rsidR="005956F3" w:rsidRDefault="005956F3">
      <w:pPr>
        <w:spacing w:before="10"/>
        <w:rPr>
          <w:b/>
          <w:sz w:val="14"/>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7"/>
      </w:tblGrid>
      <w:tr w:rsidR="005956F3">
        <w:trPr>
          <w:trHeight w:val="556"/>
        </w:trPr>
        <w:tc>
          <w:tcPr>
            <w:tcW w:w="902" w:type="dxa"/>
          </w:tcPr>
          <w:p w:rsidR="005956F3" w:rsidRDefault="00000000">
            <w:pPr>
              <w:pStyle w:val="TableParagraph"/>
              <w:spacing w:line="268" w:lineRule="exact"/>
              <w:ind w:left="0" w:right="296"/>
              <w:jc w:val="right"/>
              <w:rPr>
                <w:b/>
              </w:rPr>
            </w:pPr>
            <w:r>
              <w:rPr>
                <w:b/>
                <w:spacing w:val="-2"/>
              </w:rPr>
              <w:t>S.No.</w:t>
            </w:r>
          </w:p>
        </w:tc>
        <w:tc>
          <w:tcPr>
            <w:tcW w:w="3658" w:type="dxa"/>
          </w:tcPr>
          <w:p w:rsidR="005956F3" w:rsidRDefault="00000000">
            <w:pPr>
              <w:pStyle w:val="TableParagraph"/>
              <w:spacing w:line="268" w:lineRule="exact"/>
              <w:ind w:left="105"/>
              <w:rPr>
                <w:b/>
              </w:rPr>
            </w:pPr>
            <w:r>
              <w:rPr>
                <w:b/>
                <w:spacing w:val="-2"/>
              </w:rPr>
              <w:t>Parameter</w:t>
            </w:r>
          </w:p>
        </w:tc>
        <w:tc>
          <w:tcPr>
            <w:tcW w:w="4507" w:type="dxa"/>
          </w:tcPr>
          <w:p w:rsidR="005956F3" w:rsidRDefault="00000000">
            <w:pPr>
              <w:pStyle w:val="TableParagraph"/>
              <w:spacing w:line="268" w:lineRule="exact"/>
              <w:rPr>
                <w:b/>
              </w:rPr>
            </w:pPr>
            <w:r>
              <w:rPr>
                <w:b/>
                <w:spacing w:val="-2"/>
              </w:rPr>
              <w:t>Description</w:t>
            </w:r>
          </w:p>
        </w:tc>
      </w:tr>
      <w:tr w:rsidR="005956F3">
        <w:trPr>
          <w:trHeight w:val="2150"/>
        </w:trPr>
        <w:tc>
          <w:tcPr>
            <w:tcW w:w="902" w:type="dxa"/>
          </w:tcPr>
          <w:p w:rsidR="005956F3" w:rsidRDefault="00000000">
            <w:pPr>
              <w:pStyle w:val="TableParagraph"/>
              <w:spacing w:line="268" w:lineRule="exact"/>
              <w:ind w:left="0" w:right="329"/>
              <w:jc w:val="right"/>
            </w:pPr>
            <w:r>
              <w:rPr>
                <w:spacing w:val="-5"/>
              </w:rPr>
              <w:t>1.</w:t>
            </w:r>
          </w:p>
        </w:tc>
        <w:tc>
          <w:tcPr>
            <w:tcW w:w="3658" w:type="dxa"/>
          </w:tcPr>
          <w:p w:rsidR="005956F3" w:rsidRDefault="00000000">
            <w:pPr>
              <w:pStyle w:val="TableParagraph"/>
              <w:ind w:left="105"/>
            </w:pPr>
            <w:r>
              <w:rPr>
                <w:color w:val="212121"/>
              </w:rPr>
              <w:t>Problem</w:t>
            </w:r>
            <w:r>
              <w:rPr>
                <w:color w:val="212121"/>
                <w:spacing w:val="-10"/>
              </w:rPr>
              <w:t xml:space="preserve"> </w:t>
            </w:r>
            <w:r>
              <w:rPr>
                <w:color w:val="212121"/>
              </w:rPr>
              <w:t>Statement</w:t>
            </w:r>
            <w:r>
              <w:rPr>
                <w:color w:val="212121"/>
                <w:spacing w:val="-10"/>
              </w:rPr>
              <w:t xml:space="preserve"> </w:t>
            </w:r>
            <w:r>
              <w:rPr>
                <w:color w:val="212121"/>
              </w:rPr>
              <w:t>(Problem</w:t>
            </w:r>
            <w:r>
              <w:rPr>
                <w:color w:val="212121"/>
                <w:spacing w:val="-9"/>
              </w:rPr>
              <w:t xml:space="preserve"> </w:t>
            </w:r>
            <w:r>
              <w:rPr>
                <w:color w:val="212121"/>
              </w:rPr>
              <w:t>to</w:t>
            </w:r>
            <w:r>
              <w:rPr>
                <w:color w:val="212121"/>
                <w:spacing w:val="-9"/>
              </w:rPr>
              <w:t xml:space="preserve"> </w:t>
            </w:r>
            <w:r>
              <w:rPr>
                <w:color w:val="212121"/>
              </w:rPr>
              <w:t xml:space="preserve">be </w:t>
            </w:r>
            <w:r>
              <w:rPr>
                <w:color w:val="212121"/>
                <w:spacing w:val="-2"/>
              </w:rPr>
              <w:t>solved)</w:t>
            </w:r>
          </w:p>
        </w:tc>
        <w:tc>
          <w:tcPr>
            <w:tcW w:w="4507" w:type="dxa"/>
          </w:tcPr>
          <w:p w:rsidR="005956F3" w:rsidRDefault="00000000">
            <w:pPr>
              <w:pStyle w:val="TableParagraph"/>
              <w:ind w:right="138"/>
            </w:pPr>
            <w:r>
              <w:t>Malnutrition remains a persistent global challenge affecting millions of people, especially children. Tracking malnutrition trends</w:t>
            </w:r>
            <w:r>
              <w:rPr>
                <w:spacing w:val="-4"/>
              </w:rPr>
              <w:t xml:space="preserve"> </w:t>
            </w:r>
            <w:r>
              <w:t>over</w:t>
            </w:r>
            <w:r>
              <w:rPr>
                <w:spacing w:val="-7"/>
              </w:rPr>
              <w:t xml:space="preserve"> </w:t>
            </w:r>
            <w:r>
              <w:t>time</w:t>
            </w:r>
            <w:r>
              <w:rPr>
                <w:spacing w:val="-6"/>
              </w:rPr>
              <w:t xml:space="preserve"> </w:t>
            </w:r>
            <w:r>
              <w:t>and</w:t>
            </w:r>
            <w:r>
              <w:rPr>
                <w:spacing w:val="-5"/>
              </w:rPr>
              <w:t xml:space="preserve"> </w:t>
            </w:r>
            <w:r>
              <w:t>across</w:t>
            </w:r>
            <w:r>
              <w:rPr>
                <w:spacing w:val="-4"/>
              </w:rPr>
              <w:t xml:space="preserve"> </w:t>
            </w:r>
            <w:r>
              <w:t>regions</w:t>
            </w:r>
            <w:r>
              <w:rPr>
                <w:spacing w:val="-7"/>
              </w:rPr>
              <w:t xml:space="preserve"> </w:t>
            </w:r>
            <w:r>
              <w:t>is</w:t>
            </w:r>
            <w:r>
              <w:rPr>
                <w:spacing w:val="-4"/>
              </w:rPr>
              <w:t xml:space="preserve"> </w:t>
            </w:r>
            <w:r>
              <w:t>crucial</w:t>
            </w:r>
            <w:r>
              <w:rPr>
                <w:spacing w:val="-7"/>
              </w:rPr>
              <w:t xml:space="preserve"> </w:t>
            </w:r>
            <w:r>
              <w:t>to understanding where interventions are most needed. The lack of centralized, visualized data</w:t>
            </w:r>
          </w:p>
          <w:p w:rsidR="005956F3" w:rsidRDefault="00000000">
            <w:pPr>
              <w:pStyle w:val="TableParagraph"/>
              <w:spacing w:line="270" w:lineRule="atLeast"/>
            </w:pPr>
            <w:r>
              <w:t>limits</w:t>
            </w:r>
            <w:r>
              <w:rPr>
                <w:spacing w:val="-10"/>
              </w:rPr>
              <w:t xml:space="preserve"> </w:t>
            </w:r>
            <w:r>
              <w:t>effective</w:t>
            </w:r>
            <w:r>
              <w:rPr>
                <w:spacing w:val="-8"/>
              </w:rPr>
              <w:t xml:space="preserve"> </w:t>
            </w:r>
            <w:r>
              <w:t>policy-making</w:t>
            </w:r>
            <w:r>
              <w:rPr>
                <w:spacing w:val="-9"/>
              </w:rPr>
              <w:t xml:space="preserve"> </w:t>
            </w:r>
            <w:r>
              <w:t>and</w:t>
            </w:r>
            <w:r>
              <w:rPr>
                <w:spacing w:val="-10"/>
              </w:rPr>
              <w:t xml:space="preserve"> </w:t>
            </w:r>
            <w:r>
              <w:t xml:space="preserve">resource </w:t>
            </w:r>
            <w:r>
              <w:rPr>
                <w:spacing w:val="-2"/>
              </w:rPr>
              <w:t>allocation.</w:t>
            </w:r>
          </w:p>
        </w:tc>
      </w:tr>
      <w:tr w:rsidR="005956F3">
        <w:trPr>
          <w:trHeight w:val="2684"/>
        </w:trPr>
        <w:tc>
          <w:tcPr>
            <w:tcW w:w="902" w:type="dxa"/>
          </w:tcPr>
          <w:p w:rsidR="005956F3" w:rsidRDefault="00000000">
            <w:pPr>
              <w:pStyle w:val="TableParagraph"/>
              <w:spacing w:line="267" w:lineRule="exact"/>
              <w:ind w:left="0" w:right="329"/>
              <w:jc w:val="right"/>
            </w:pPr>
            <w:r>
              <w:rPr>
                <w:spacing w:val="-5"/>
              </w:rPr>
              <w:t>2.</w:t>
            </w:r>
          </w:p>
        </w:tc>
        <w:tc>
          <w:tcPr>
            <w:tcW w:w="3658" w:type="dxa"/>
          </w:tcPr>
          <w:p w:rsidR="005956F3" w:rsidRDefault="00000000">
            <w:pPr>
              <w:pStyle w:val="TableParagraph"/>
              <w:spacing w:line="267" w:lineRule="exact"/>
              <w:ind w:left="105"/>
            </w:pPr>
            <w:r>
              <w:rPr>
                <w:color w:val="212121"/>
              </w:rPr>
              <w:t>Idea</w:t>
            </w:r>
            <w:r>
              <w:rPr>
                <w:color w:val="212121"/>
                <w:spacing w:val="-4"/>
              </w:rPr>
              <w:t xml:space="preserve"> </w:t>
            </w:r>
            <w:r>
              <w:rPr>
                <w:color w:val="212121"/>
              </w:rPr>
              <w:t>/</w:t>
            </w:r>
            <w:r>
              <w:rPr>
                <w:color w:val="212121"/>
                <w:spacing w:val="-2"/>
              </w:rPr>
              <w:t xml:space="preserve"> </w:t>
            </w:r>
            <w:r>
              <w:rPr>
                <w:color w:val="212121"/>
              </w:rPr>
              <w:t>Solution</w:t>
            </w:r>
            <w:r>
              <w:rPr>
                <w:color w:val="212121"/>
                <w:spacing w:val="-4"/>
              </w:rPr>
              <w:t xml:space="preserve"> </w:t>
            </w:r>
            <w:r>
              <w:rPr>
                <w:color w:val="212121"/>
                <w:spacing w:val="-2"/>
              </w:rPr>
              <w:t>description</w:t>
            </w:r>
          </w:p>
        </w:tc>
        <w:tc>
          <w:tcPr>
            <w:tcW w:w="4507" w:type="dxa"/>
          </w:tcPr>
          <w:p w:rsidR="005956F3" w:rsidRDefault="00000000">
            <w:pPr>
              <w:pStyle w:val="TableParagraph"/>
              <w:ind w:right="146"/>
            </w:pPr>
            <w:r>
              <w:t>The</w:t>
            </w:r>
            <w:r>
              <w:rPr>
                <w:spacing w:val="-4"/>
              </w:rPr>
              <w:t xml:space="preserve"> </w:t>
            </w:r>
            <w:r>
              <w:t>proposed</w:t>
            </w:r>
            <w:r>
              <w:rPr>
                <w:spacing w:val="-7"/>
              </w:rPr>
              <w:t xml:space="preserve"> </w:t>
            </w:r>
            <w:r>
              <w:t>solution</w:t>
            </w:r>
            <w:r>
              <w:rPr>
                <w:spacing w:val="-5"/>
              </w:rPr>
              <w:t xml:space="preserve"> </w:t>
            </w:r>
            <w:r>
              <w:t>is</w:t>
            </w:r>
            <w:r>
              <w:rPr>
                <w:spacing w:val="-6"/>
              </w:rPr>
              <w:t xml:space="preserve"> </w:t>
            </w:r>
            <w:r>
              <w:t>a</w:t>
            </w:r>
            <w:r>
              <w:rPr>
                <w:spacing w:val="-6"/>
              </w:rPr>
              <w:t xml:space="preserve"> </w:t>
            </w:r>
            <w:r>
              <w:t>Power</w:t>
            </w:r>
            <w:r>
              <w:rPr>
                <w:spacing w:val="-6"/>
              </w:rPr>
              <w:t xml:space="preserve"> </w:t>
            </w:r>
            <w:r>
              <w:t>BI</w:t>
            </w:r>
            <w:r>
              <w:rPr>
                <w:spacing w:val="-4"/>
              </w:rPr>
              <w:t xml:space="preserve"> </w:t>
            </w:r>
            <w:r>
              <w:t>dashboard that analyses global malnutrition trends from 1983 to 2019 using historical data. The dashboard will provide interactive visualizations, allowing users to explore malnutrition rates by region, age group, economic status, and policy impact. This will help policymakers, NGOs, and researchers make data-driven decisions to reduce</w:t>
            </w:r>
          </w:p>
          <w:p w:rsidR="005956F3" w:rsidRDefault="00000000">
            <w:pPr>
              <w:pStyle w:val="TableParagraph"/>
              <w:spacing w:line="249" w:lineRule="exact"/>
            </w:pPr>
            <w:r>
              <w:t>malnutrition</w:t>
            </w:r>
            <w:r>
              <w:rPr>
                <w:spacing w:val="-8"/>
              </w:rPr>
              <w:t xml:space="preserve"> </w:t>
            </w:r>
            <w:r>
              <w:rPr>
                <w:spacing w:val="-2"/>
              </w:rPr>
              <w:t>globally.</w:t>
            </w:r>
          </w:p>
        </w:tc>
      </w:tr>
      <w:tr w:rsidR="005956F3">
        <w:trPr>
          <w:trHeight w:val="2417"/>
        </w:trPr>
        <w:tc>
          <w:tcPr>
            <w:tcW w:w="902" w:type="dxa"/>
          </w:tcPr>
          <w:p w:rsidR="005956F3" w:rsidRDefault="00000000">
            <w:pPr>
              <w:pStyle w:val="TableParagraph"/>
              <w:spacing w:line="268" w:lineRule="exact"/>
              <w:ind w:left="0" w:right="329"/>
              <w:jc w:val="right"/>
            </w:pPr>
            <w:r>
              <w:rPr>
                <w:spacing w:val="-5"/>
              </w:rPr>
              <w:t>3.</w:t>
            </w:r>
          </w:p>
        </w:tc>
        <w:tc>
          <w:tcPr>
            <w:tcW w:w="3658" w:type="dxa"/>
          </w:tcPr>
          <w:p w:rsidR="005956F3" w:rsidRDefault="00000000">
            <w:pPr>
              <w:pStyle w:val="TableParagraph"/>
              <w:spacing w:line="268" w:lineRule="exact"/>
              <w:ind w:left="105"/>
            </w:pPr>
            <w:r>
              <w:rPr>
                <w:color w:val="212121"/>
              </w:rPr>
              <w:t>Novelty</w:t>
            </w:r>
            <w:r>
              <w:rPr>
                <w:color w:val="212121"/>
                <w:spacing w:val="-3"/>
              </w:rPr>
              <w:t xml:space="preserve"> </w:t>
            </w:r>
            <w:r>
              <w:rPr>
                <w:color w:val="212121"/>
              </w:rPr>
              <w:t>/</w:t>
            </w:r>
            <w:r>
              <w:rPr>
                <w:color w:val="212121"/>
                <w:spacing w:val="-2"/>
              </w:rPr>
              <w:t xml:space="preserve"> Uniqueness</w:t>
            </w:r>
          </w:p>
        </w:tc>
        <w:tc>
          <w:tcPr>
            <w:tcW w:w="4507" w:type="dxa"/>
          </w:tcPr>
          <w:p w:rsidR="005956F3" w:rsidRDefault="00000000">
            <w:pPr>
              <w:pStyle w:val="TableParagraph"/>
            </w:pPr>
            <w:r>
              <w:t>The</w:t>
            </w:r>
            <w:r>
              <w:rPr>
                <w:spacing w:val="-5"/>
              </w:rPr>
              <w:t xml:space="preserve"> </w:t>
            </w:r>
            <w:r>
              <w:t>solution</w:t>
            </w:r>
            <w:r>
              <w:rPr>
                <w:spacing w:val="-6"/>
              </w:rPr>
              <w:t xml:space="preserve"> </w:t>
            </w:r>
            <w:r>
              <w:t>is</w:t>
            </w:r>
            <w:r>
              <w:rPr>
                <w:spacing w:val="-5"/>
              </w:rPr>
              <w:t xml:space="preserve"> </w:t>
            </w:r>
            <w:r>
              <w:t>unique</w:t>
            </w:r>
            <w:r>
              <w:rPr>
                <w:spacing w:val="-5"/>
              </w:rPr>
              <w:t xml:space="preserve"> </w:t>
            </w:r>
            <w:r>
              <w:t>as</w:t>
            </w:r>
            <w:r>
              <w:rPr>
                <w:spacing w:val="-5"/>
              </w:rPr>
              <w:t xml:space="preserve"> </w:t>
            </w:r>
            <w:r>
              <w:t>it</w:t>
            </w:r>
            <w:r>
              <w:rPr>
                <w:spacing w:val="-7"/>
              </w:rPr>
              <w:t xml:space="preserve"> </w:t>
            </w:r>
            <w:r>
              <w:t>combines</w:t>
            </w:r>
            <w:r>
              <w:rPr>
                <w:spacing w:val="-4"/>
              </w:rPr>
              <w:t xml:space="preserve"> </w:t>
            </w:r>
            <w:r>
              <w:t>geospatial mapping, time-series analysis, economic correlations, and predictive modelling within a single Power BI dashboard. By using AI/ML integration, it can forecast future malnutrition trends, allowing policymakers to proactively implement solutions. Additionally, it offers a comparative analysis of government policies'</w:t>
            </w:r>
          </w:p>
          <w:p w:rsidR="005956F3" w:rsidRDefault="00000000">
            <w:pPr>
              <w:pStyle w:val="TableParagraph"/>
              <w:spacing w:line="249" w:lineRule="exact"/>
            </w:pPr>
            <w:r>
              <w:t>effectiveness,</w:t>
            </w:r>
            <w:r>
              <w:rPr>
                <w:spacing w:val="-8"/>
              </w:rPr>
              <w:t xml:space="preserve"> </w:t>
            </w:r>
            <w:r>
              <w:t>providing</w:t>
            </w:r>
            <w:r>
              <w:rPr>
                <w:spacing w:val="-8"/>
              </w:rPr>
              <w:t xml:space="preserve"> </w:t>
            </w:r>
            <w:r>
              <w:t>actionable</w:t>
            </w:r>
            <w:r>
              <w:rPr>
                <w:spacing w:val="-8"/>
              </w:rPr>
              <w:t xml:space="preserve"> </w:t>
            </w:r>
            <w:r>
              <w:rPr>
                <w:spacing w:val="-2"/>
              </w:rPr>
              <w:t>insights.</w:t>
            </w:r>
          </w:p>
        </w:tc>
      </w:tr>
      <w:tr w:rsidR="005956F3">
        <w:trPr>
          <w:trHeight w:val="3259"/>
        </w:trPr>
        <w:tc>
          <w:tcPr>
            <w:tcW w:w="902" w:type="dxa"/>
          </w:tcPr>
          <w:p w:rsidR="005956F3" w:rsidRDefault="00000000">
            <w:pPr>
              <w:pStyle w:val="TableParagraph"/>
              <w:spacing w:line="268" w:lineRule="exact"/>
              <w:ind w:left="0" w:right="329"/>
              <w:jc w:val="right"/>
            </w:pPr>
            <w:r>
              <w:rPr>
                <w:spacing w:val="-5"/>
              </w:rPr>
              <w:t>4.</w:t>
            </w:r>
          </w:p>
        </w:tc>
        <w:tc>
          <w:tcPr>
            <w:tcW w:w="3658" w:type="dxa"/>
          </w:tcPr>
          <w:p w:rsidR="005956F3" w:rsidRDefault="00000000">
            <w:pPr>
              <w:pStyle w:val="TableParagraph"/>
              <w:spacing w:line="268" w:lineRule="exact"/>
              <w:ind w:left="105"/>
            </w:pPr>
            <w:r>
              <w:rPr>
                <w:color w:val="212121"/>
              </w:rPr>
              <w:t>Social</w:t>
            </w:r>
            <w:r>
              <w:rPr>
                <w:color w:val="212121"/>
                <w:spacing w:val="-5"/>
              </w:rPr>
              <w:t xml:space="preserve"> </w:t>
            </w:r>
            <w:r>
              <w:rPr>
                <w:color w:val="212121"/>
              </w:rPr>
              <w:t>Impact</w:t>
            </w:r>
            <w:r>
              <w:rPr>
                <w:color w:val="212121"/>
                <w:spacing w:val="-5"/>
              </w:rPr>
              <w:t xml:space="preserve"> </w:t>
            </w:r>
            <w:r>
              <w:rPr>
                <w:color w:val="212121"/>
              </w:rPr>
              <w:t>/</w:t>
            </w:r>
            <w:r>
              <w:rPr>
                <w:color w:val="212121"/>
                <w:spacing w:val="-3"/>
              </w:rPr>
              <w:t xml:space="preserve"> </w:t>
            </w:r>
            <w:r>
              <w:rPr>
                <w:color w:val="212121"/>
              </w:rPr>
              <w:t>Customer</w:t>
            </w:r>
            <w:r>
              <w:rPr>
                <w:color w:val="212121"/>
                <w:spacing w:val="-3"/>
              </w:rPr>
              <w:t xml:space="preserve"> </w:t>
            </w:r>
            <w:r>
              <w:rPr>
                <w:color w:val="212121"/>
                <w:spacing w:val="-2"/>
              </w:rPr>
              <w:t>Satisfaction</w:t>
            </w:r>
          </w:p>
        </w:tc>
        <w:tc>
          <w:tcPr>
            <w:tcW w:w="4507" w:type="dxa"/>
          </w:tcPr>
          <w:p w:rsidR="005956F3" w:rsidRDefault="00000000">
            <w:pPr>
              <w:pStyle w:val="TableParagraph"/>
              <w:ind w:right="146"/>
            </w:pPr>
            <w:r>
              <w:t>The solution aims to support global health organizations,</w:t>
            </w:r>
            <w:r>
              <w:rPr>
                <w:spacing w:val="-10"/>
              </w:rPr>
              <w:t xml:space="preserve"> </w:t>
            </w:r>
            <w:r>
              <w:t>policymakers,</w:t>
            </w:r>
            <w:r>
              <w:rPr>
                <w:spacing w:val="-8"/>
              </w:rPr>
              <w:t xml:space="preserve"> </w:t>
            </w:r>
            <w:r>
              <w:t>and</w:t>
            </w:r>
            <w:r>
              <w:rPr>
                <w:spacing w:val="-9"/>
              </w:rPr>
              <w:t xml:space="preserve"> </w:t>
            </w:r>
            <w:r>
              <w:t>non-profits</w:t>
            </w:r>
            <w:r>
              <w:rPr>
                <w:spacing w:val="-7"/>
              </w:rPr>
              <w:t xml:space="preserve"> </w:t>
            </w:r>
            <w:r>
              <w:t>in combating malnutrition. By providing clear visual insights, it helps in:</w:t>
            </w:r>
          </w:p>
          <w:p w:rsidR="005956F3" w:rsidRDefault="00000000">
            <w:pPr>
              <w:pStyle w:val="TableParagraph"/>
              <w:numPr>
                <w:ilvl w:val="0"/>
                <w:numId w:val="4"/>
              </w:numPr>
              <w:tabs>
                <w:tab w:val="left" w:pos="828"/>
              </w:tabs>
              <w:spacing w:before="266"/>
            </w:pPr>
            <w:r>
              <w:t>Identifying</w:t>
            </w:r>
            <w:r>
              <w:rPr>
                <w:spacing w:val="-9"/>
              </w:rPr>
              <w:t xml:space="preserve"> </w:t>
            </w:r>
            <w:r>
              <w:t>high-risk</w:t>
            </w:r>
            <w:r>
              <w:rPr>
                <w:spacing w:val="-7"/>
              </w:rPr>
              <w:t xml:space="preserve"> </w:t>
            </w:r>
            <w:r>
              <w:rPr>
                <w:spacing w:val="-2"/>
              </w:rPr>
              <w:t>regions.</w:t>
            </w:r>
          </w:p>
          <w:p w:rsidR="005956F3" w:rsidRDefault="005956F3">
            <w:pPr>
              <w:pStyle w:val="TableParagraph"/>
              <w:spacing w:before="1"/>
              <w:ind w:left="0"/>
              <w:rPr>
                <w:b/>
              </w:rPr>
            </w:pPr>
          </w:p>
          <w:p w:rsidR="005956F3" w:rsidRDefault="00000000">
            <w:pPr>
              <w:pStyle w:val="TableParagraph"/>
              <w:numPr>
                <w:ilvl w:val="0"/>
                <w:numId w:val="4"/>
              </w:numPr>
              <w:tabs>
                <w:tab w:val="left" w:pos="828"/>
              </w:tabs>
              <w:ind w:right="179"/>
            </w:pPr>
            <w:r>
              <w:t>Understanding</w:t>
            </w:r>
            <w:r>
              <w:rPr>
                <w:spacing w:val="-10"/>
              </w:rPr>
              <w:t xml:space="preserve"> </w:t>
            </w:r>
            <w:r>
              <w:t>the</w:t>
            </w:r>
            <w:r>
              <w:rPr>
                <w:spacing w:val="-9"/>
              </w:rPr>
              <w:t xml:space="preserve"> </w:t>
            </w:r>
            <w:r>
              <w:t>impact</w:t>
            </w:r>
            <w:r>
              <w:rPr>
                <w:spacing w:val="-12"/>
              </w:rPr>
              <w:t xml:space="preserve"> </w:t>
            </w:r>
            <w:r>
              <w:t>of</w:t>
            </w:r>
            <w:r>
              <w:rPr>
                <w:spacing w:val="-9"/>
              </w:rPr>
              <w:t xml:space="preserve"> </w:t>
            </w:r>
            <w:r>
              <w:t>economic and policy changes.</w:t>
            </w:r>
          </w:p>
          <w:p w:rsidR="005956F3" w:rsidRDefault="00000000">
            <w:pPr>
              <w:pStyle w:val="TableParagraph"/>
              <w:numPr>
                <w:ilvl w:val="0"/>
                <w:numId w:val="4"/>
              </w:numPr>
              <w:tabs>
                <w:tab w:val="left" w:pos="828"/>
              </w:tabs>
              <w:spacing w:before="250" w:line="270" w:lineRule="atLeast"/>
              <w:ind w:right="1064"/>
            </w:pPr>
            <w:r>
              <w:t>Promoting</w:t>
            </w:r>
            <w:r>
              <w:rPr>
                <w:spacing w:val="-13"/>
              </w:rPr>
              <w:t xml:space="preserve"> </w:t>
            </w:r>
            <w:r>
              <w:t>effective</w:t>
            </w:r>
            <w:r>
              <w:rPr>
                <w:spacing w:val="-12"/>
              </w:rPr>
              <w:t xml:space="preserve"> </w:t>
            </w:r>
            <w:r>
              <w:t xml:space="preserve">resource </w:t>
            </w:r>
            <w:r>
              <w:rPr>
                <w:spacing w:val="-2"/>
              </w:rPr>
              <w:t>distribution.</w:t>
            </w:r>
          </w:p>
        </w:tc>
      </w:tr>
    </w:tbl>
    <w:p w:rsidR="005956F3" w:rsidRDefault="005956F3">
      <w:pPr>
        <w:pStyle w:val="TableParagraph"/>
        <w:spacing w:line="270" w:lineRule="atLeast"/>
        <w:sectPr w:rsidR="005956F3">
          <w:type w:val="continuous"/>
          <w:pgSz w:w="11910" w:h="16840"/>
          <w:pgMar w:top="800" w:right="1275" w:bottom="1123"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7"/>
      </w:tblGrid>
      <w:tr w:rsidR="005956F3">
        <w:trPr>
          <w:trHeight w:val="1084"/>
        </w:trPr>
        <w:tc>
          <w:tcPr>
            <w:tcW w:w="902" w:type="dxa"/>
          </w:tcPr>
          <w:p w:rsidR="005956F3" w:rsidRDefault="005956F3">
            <w:pPr>
              <w:pStyle w:val="TableParagraph"/>
              <w:ind w:left="0"/>
              <w:rPr>
                <w:rFonts w:ascii="Times New Roman"/>
              </w:rPr>
            </w:pPr>
          </w:p>
        </w:tc>
        <w:tc>
          <w:tcPr>
            <w:tcW w:w="3658" w:type="dxa"/>
          </w:tcPr>
          <w:p w:rsidR="005956F3" w:rsidRDefault="005956F3">
            <w:pPr>
              <w:pStyle w:val="TableParagraph"/>
              <w:ind w:left="0"/>
              <w:rPr>
                <w:rFonts w:ascii="Times New Roman"/>
              </w:rPr>
            </w:pPr>
          </w:p>
        </w:tc>
        <w:tc>
          <w:tcPr>
            <w:tcW w:w="4507" w:type="dxa"/>
          </w:tcPr>
          <w:p w:rsidR="005956F3" w:rsidRDefault="00000000">
            <w:pPr>
              <w:pStyle w:val="TableParagraph"/>
              <w:numPr>
                <w:ilvl w:val="0"/>
                <w:numId w:val="3"/>
              </w:numPr>
              <w:tabs>
                <w:tab w:val="left" w:pos="828"/>
              </w:tabs>
              <w:ind w:right="277"/>
            </w:pPr>
            <w:r>
              <w:t>This will ultimately contribute to reducing malnutrition rates globally, improving</w:t>
            </w:r>
            <w:r>
              <w:rPr>
                <w:spacing w:val="-8"/>
              </w:rPr>
              <w:t xml:space="preserve"> </w:t>
            </w:r>
            <w:r>
              <w:t>quality</w:t>
            </w:r>
            <w:r>
              <w:rPr>
                <w:spacing w:val="-8"/>
              </w:rPr>
              <w:t xml:space="preserve"> </w:t>
            </w:r>
            <w:r>
              <w:t>of</w:t>
            </w:r>
            <w:r>
              <w:rPr>
                <w:spacing w:val="-7"/>
              </w:rPr>
              <w:t xml:space="preserve"> </w:t>
            </w:r>
            <w:r>
              <w:t>life,</w:t>
            </w:r>
            <w:r>
              <w:rPr>
                <w:spacing w:val="-7"/>
              </w:rPr>
              <w:t xml:space="preserve"> </w:t>
            </w:r>
            <w:r>
              <w:t>and</w:t>
            </w:r>
            <w:r>
              <w:rPr>
                <w:spacing w:val="-8"/>
              </w:rPr>
              <w:t xml:space="preserve"> </w:t>
            </w:r>
            <w:r>
              <w:t>ensuring</w:t>
            </w:r>
          </w:p>
          <w:p w:rsidR="005956F3" w:rsidRDefault="00000000">
            <w:pPr>
              <w:pStyle w:val="TableParagraph"/>
              <w:spacing w:line="248" w:lineRule="exact"/>
              <w:ind w:left="828"/>
            </w:pPr>
            <w:r>
              <w:t>better</w:t>
            </w:r>
            <w:r>
              <w:rPr>
                <w:spacing w:val="-6"/>
              </w:rPr>
              <w:t xml:space="preserve"> </w:t>
            </w:r>
            <w:r>
              <w:t>policy</w:t>
            </w:r>
            <w:r>
              <w:rPr>
                <w:spacing w:val="-3"/>
              </w:rPr>
              <w:t xml:space="preserve"> </w:t>
            </w:r>
            <w:r>
              <w:rPr>
                <w:spacing w:val="-2"/>
              </w:rPr>
              <w:t>decisions.</w:t>
            </w:r>
          </w:p>
        </w:tc>
      </w:tr>
      <w:tr w:rsidR="005956F3">
        <w:trPr>
          <w:trHeight w:val="3806"/>
        </w:trPr>
        <w:tc>
          <w:tcPr>
            <w:tcW w:w="902" w:type="dxa"/>
          </w:tcPr>
          <w:p w:rsidR="005956F3" w:rsidRDefault="00000000">
            <w:pPr>
              <w:pStyle w:val="TableParagraph"/>
              <w:spacing w:line="268" w:lineRule="exact"/>
              <w:ind w:left="59"/>
              <w:jc w:val="center"/>
            </w:pPr>
            <w:r>
              <w:rPr>
                <w:spacing w:val="-5"/>
              </w:rPr>
              <w:t>5.</w:t>
            </w:r>
          </w:p>
        </w:tc>
        <w:tc>
          <w:tcPr>
            <w:tcW w:w="3658" w:type="dxa"/>
          </w:tcPr>
          <w:p w:rsidR="005956F3" w:rsidRDefault="00000000">
            <w:pPr>
              <w:pStyle w:val="TableParagraph"/>
              <w:spacing w:line="268" w:lineRule="exact"/>
              <w:ind w:left="105"/>
            </w:pPr>
            <w:r>
              <w:rPr>
                <w:color w:val="212121"/>
              </w:rPr>
              <w:t>Business</w:t>
            </w:r>
            <w:r>
              <w:rPr>
                <w:color w:val="212121"/>
                <w:spacing w:val="-5"/>
              </w:rPr>
              <w:t xml:space="preserve"> </w:t>
            </w:r>
            <w:r>
              <w:rPr>
                <w:color w:val="212121"/>
              </w:rPr>
              <w:t>Model</w:t>
            </w:r>
            <w:r>
              <w:rPr>
                <w:color w:val="212121"/>
                <w:spacing w:val="-8"/>
              </w:rPr>
              <w:t xml:space="preserve"> </w:t>
            </w:r>
            <w:r>
              <w:rPr>
                <w:color w:val="212121"/>
              </w:rPr>
              <w:t>(Revenue</w:t>
            </w:r>
            <w:r>
              <w:rPr>
                <w:color w:val="212121"/>
                <w:spacing w:val="-9"/>
              </w:rPr>
              <w:t xml:space="preserve"> </w:t>
            </w:r>
            <w:r>
              <w:rPr>
                <w:color w:val="212121"/>
                <w:spacing w:val="-2"/>
              </w:rPr>
              <w:t>Model)</w:t>
            </w:r>
          </w:p>
        </w:tc>
        <w:tc>
          <w:tcPr>
            <w:tcW w:w="4507" w:type="dxa"/>
          </w:tcPr>
          <w:p w:rsidR="005956F3" w:rsidRDefault="00000000">
            <w:pPr>
              <w:pStyle w:val="TableParagraph"/>
              <w:spacing w:line="268" w:lineRule="exact"/>
            </w:pPr>
            <w:r>
              <w:t>The</w:t>
            </w:r>
            <w:r>
              <w:rPr>
                <w:spacing w:val="-4"/>
              </w:rPr>
              <w:t xml:space="preserve"> </w:t>
            </w:r>
            <w:r>
              <w:t>project</w:t>
            </w:r>
            <w:r>
              <w:rPr>
                <w:spacing w:val="-5"/>
              </w:rPr>
              <w:t xml:space="preserve"> </w:t>
            </w:r>
            <w:r>
              <w:t>can</w:t>
            </w:r>
            <w:r>
              <w:rPr>
                <w:spacing w:val="-5"/>
              </w:rPr>
              <w:t xml:space="preserve"> </w:t>
            </w:r>
            <w:r>
              <w:t>generate</w:t>
            </w:r>
            <w:r>
              <w:rPr>
                <w:spacing w:val="-5"/>
              </w:rPr>
              <w:t xml:space="preserve"> </w:t>
            </w:r>
            <w:r>
              <w:t>revenue</w:t>
            </w:r>
            <w:r>
              <w:rPr>
                <w:spacing w:val="-5"/>
              </w:rPr>
              <w:t xml:space="preserve"> </w:t>
            </w:r>
            <w:r>
              <w:rPr>
                <w:spacing w:val="-2"/>
              </w:rPr>
              <w:t>through:</w:t>
            </w:r>
          </w:p>
          <w:p w:rsidR="005956F3" w:rsidRDefault="005956F3">
            <w:pPr>
              <w:pStyle w:val="TableParagraph"/>
              <w:ind w:left="0"/>
              <w:rPr>
                <w:b/>
              </w:rPr>
            </w:pPr>
          </w:p>
          <w:p w:rsidR="005956F3" w:rsidRDefault="00000000">
            <w:pPr>
              <w:pStyle w:val="TableParagraph"/>
              <w:numPr>
                <w:ilvl w:val="0"/>
                <w:numId w:val="2"/>
              </w:numPr>
              <w:tabs>
                <w:tab w:val="left" w:pos="828"/>
              </w:tabs>
              <w:ind w:right="435"/>
            </w:pPr>
            <w:r>
              <w:t>Subscription-based</w:t>
            </w:r>
            <w:r>
              <w:rPr>
                <w:spacing w:val="-13"/>
              </w:rPr>
              <w:t xml:space="preserve"> </w:t>
            </w:r>
            <w:r>
              <w:t>model</w:t>
            </w:r>
            <w:r>
              <w:rPr>
                <w:spacing w:val="-11"/>
              </w:rPr>
              <w:t xml:space="preserve"> </w:t>
            </w:r>
            <w:r>
              <w:t>for</w:t>
            </w:r>
            <w:r>
              <w:rPr>
                <w:spacing w:val="-11"/>
              </w:rPr>
              <w:t xml:space="preserve"> </w:t>
            </w:r>
            <w:r>
              <w:t>global health organizations to access advanced predictive analytics.</w:t>
            </w:r>
          </w:p>
          <w:p w:rsidR="005956F3" w:rsidRDefault="00000000">
            <w:pPr>
              <w:pStyle w:val="TableParagraph"/>
              <w:numPr>
                <w:ilvl w:val="0"/>
                <w:numId w:val="2"/>
              </w:numPr>
              <w:tabs>
                <w:tab w:val="left" w:pos="828"/>
              </w:tabs>
              <w:spacing w:before="268"/>
              <w:ind w:right="135"/>
            </w:pPr>
            <w:r>
              <w:t>Collaborations</w:t>
            </w:r>
            <w:r>
              <w:rPr>
                <w:spacing w:val="-13"/>
              </w:rPr>
              <w:t xml:space="preserve"> </w:t>
            </w:r>
            <w:r>
              <w:t>with</w:t>
            </w:r>
            <w:r>
              <w:rPr>
                <w:spacing w:val="-11"/>
              </w:rPr>
              <w:t xml:space="preserve"> </w:t>
            </w:r>
            <w:r>
              <w:t>government</w:t>
            </w:r>
            <w:r>
              <w:rPr>
                <w:spacing w:val="-13"/>
              </w:rPr>
              <w:t xml:space="preserve"> </w:t>
            </w:r>
            <w:r>
              <w:t>bodies for customized malnutrition reports.</w:t>
            </w:r>
          </w:p>
          <w:p w:rsidR="005956F3" w:rsidRDefault="005956F3">
            <w:pPr>
              <w:pStyle w:val="TableParagraph"/>
              <w:spacing w:before="1"/>
              <w:ind w:left="0"/>
              <w:rPr>
                <w:b/>
              </w:rPr>
            </w:pPr>
          </w:p>
          <w:p w:rsidR="005956F3" w:rsidRDefault="00000000">
            <w:pPr>
              <w:pStyle w:val="TableParagraph"/>
              <w:numPr>
                <w:ilvl w:val="0"/>
                <w:numId w:val="2"/>
              </w:numPr>
              <w:tabs>
                <w:tab w:val="left" w:pos="828"/>
              </w:tabs>
              <w:ind w:right="672"/>
            </w:pPr>
            <w:r>
              <w:t>Data</w:t>
            </w:r>
            <w:r>
              <w:rPr>
                <w:spacing w:val="-8"/>
              </w:rPr>
              <w:t xml:space="preserve"> </w:t>
            </w:r>
            <w:r>
              <w:t>licensing</w:t>
            </w:r>
            <w:r>
              <w:rPr>
                <w:spacing w:val="-10"/>
              </w:rPr>
              <w:t xml:space="preserve"> </w:t>
            </w:r>
            <w:r>
              <w:t>model</w:t>
            </w:r>
            <w:r>
              <w:rPr>
                <w:spacing w:val="-10"/>
              </w:rPr>
              <w:t xml:space="preserve"> </w:t>
            </w:r>
            <w:r>
              <w:t>for</w:t>
            </w:r>
            <w:r>
              <w:rPr>
                <w:spacing w:val="-10"/>
              </w:rPr>
              <w:t xml:space="preserve"> </w:t>
            </w:r>
            <w:r>
              <w:t>research institutes and universities.</w:t>
            </w:r>
          </w:p>
          <w:p w:rsidR="005956F3" w:rsidRDefault="00000000">
            <w:pPr>
              <w:pStyle w:val="TableParagraph"/>
              <w:numPr>
                <w:ilvl w:val="0"/>
                <w:numId w:val="2"/>
              </w:numPr>
              <w:tabs>
                <w:tab w:val="left" w:pos="828"/>
              </w:tabs>
              <w:spacing w:before="265" w:line="266" w:lineRule="exact"/>
              <w:ind w:right="315"/>
            </w:pPr>
            <w:r>
              <w:t>Offering</w:t>
            </w:r>
            <w:r>
              <w:rPr>
                <w:spacing w:val="-10"/>
              </w:rPr>
              <w:t xml:space="preserve"> </w:t>
            </w:r>
            <w:r>
              <w:t>consulting</w:t>
            </w:r>
            <w:r>
              <w:rPr>
                <w:spacing w:val="-10"/>
              </w:rPr>
              <w:t xml:space="preserve"> </w:t>
            </w:r>
            <w:r>
              <w:t>services</w:t>
            </w:r>
            <w:r>
              <w:rPr>
                <w:spacing w:val="-9"/>
              </w:rPr>
              <w:t xml:space="preserve"> </w:t>
            </w:r>
            <w:r>
              <w:t>for</w:t>
            </w:r>
            <w:r>
              <w:rPr>
                <w:spacing w:val="-9"/>
              </w:rPr>
              <w:t xml:space="preserve"> </w:t>
            </w:r>
            <w:r>
              <w:t>policy planning and intervention strategies.</w:t>
            </w:r>
          </w:p>
        </w:tc>
      </w:tr>
      <w:tr w:rsidR="005956F3">
        <w:trPr>
          <w:trHeight w:val="4615"/>
        </w:trPr>
        <w:tc>
          <w:tcPr>
            <w:tcW w:w="902" w:type="dxa"/>
          </w:tcPr>
          <w:p w:rsidR="005956F3" w:rsidRDefault="00000000">
            <w:pPr>
              <w:pStyle w:val="TableParagraph"/>
              <w:spacing w:before="1"/>
              <w:ind w:left="59"/>
              <w:jc w:val="center"/>
            </w:pPr>
            <w:r>
              <w:rPr>
                <w:spacing w:val="-5"/>
              </w:rPr>
              <w:t>6.</w:t>
            </w:r>
          </w:p>
        </w:tc>
        <w:tc>
          <w:tcPr>
            <w:tcW w:w="3658" w:type="dxa"/>
          </w:tcPr>
          <w:p w:rsidR="005956F3" w:rsidRDefault="00000000">
            <w:pPr>
              <w:pStyle w:val="TableParagraph"/>
              <w:spacing w:before="1"/>
              <w:ind w:left="105"/>
            </w:pPr>
            <w:r>
              <w:rPr>
                <w:color w:val="212121"/>
              </w:rPr>
              <w:t>Scalability</w:t>
            </w:r>
            <w:r>
              <w:rPr>
                <w:color w:val="212121"/>
                <w:spacing w:val="-5"/>
              </w:rPr>
              <w:t xml:space="preserve"> </w:t>
            </w:r>
            <w:r>
              <w:rPr>
                <w:color w:val="212121"/>
              </w:rPr>
              <w:t>of</w:t>
            </w:r>
            <w:r>
              <w:rPr>
                <w:color w:val="212121"/>
                <w:spacing w:val="-2"/>
              </w:rPr>
              <w:t xml:space="preserve"> </w:t>
            </w:r>
            <w:r>
              <w:rPr>
                <w:color w:val="212121"/>
              </w:rPr>
              <w:t>the</w:t>
            </w:r>
            <w:r>
              <w:rPr>
                <w:color w:val="212121"/>
                <w:spacing w:val="-2"/>
              </w:rPr>
              <w:t xml:space="preserve"> Solution</w:t>
            </w:r>
          </w:p>
        </w:tc>
        <w:tc>
          <w:tcPr>
            <w:tcW w:w="4507" w:type="dxa"/>
          </w:tcPr>
          <w:p w:rsidR="005956F3" w:rsidRDefault="00000000">
            <w:pPr>
              <w:pStyle w:val="TableParagraph"/>
              <w:spacing w:before="1"/>
            </w:pPr>
            <w:r>
              <w:t>The</w:t>
            </w:r>
            <w:r>
              <w:rPr>
                <w:spacing w:val="-6"/>
              </w:rPr>
              <w:t xml:space="preserve"> </w:t>
            </w:r>
            <w:r>
              <w:t>solution</w:t>
            </w:r>
            <w:r>
              <w:rPr>
                <w:spacing w:val="-4"/>
              </w:rPr>
              <w:t xml:space="preserve"> </w:t>
            </w:r>
            <w:r>
              <w:t>is</w:t>
            </w:r>
            <w:r>
              <w:rPr>
                <w:spacing w:val="-3"/>
              </w:rPr>
              <w:t xml:space="preserve"> </w:t>
            </w:r>
            <w:r>
              <w:t>highly</w:t>
            </w:r>
            <w:r>
              <w:rPr>
                <w:spacing w:val="-4"/>
              </w:rPr>
              <w:t xml:space="preserve"> </w:t>
            </w:r>
            <w:r>
              <w:t>scalable</w:t>
            </w:r>
            <w:r>
              <w:rPr>
                <w:spacing w:val="-3"/>
              </w:rPr>
              <w:t xml:space="preserve"> </w:t>
            </w:r>
            <w:r>
              <w:t>and</w:t>
            </w:r>
            <w:r>
              <w:rPr>
                <w:spacing w:val="-5"/>
              </w:rPr>
              <w:t xml:space="preserve"> </w:t>
            </w:r>
            <w:r>
              <w:t>can</w:t>
            </w:r>
            <w:r>
              <w:rPr>
                <w:spacing w:val="-4"/>
              </w:rPr>
              <w:t xml:space="preserve"> </w:t>
            </w:r>
            <w:r>
              <w:rPr>
                <w:spacing w:val="-5"/>
              </w:rPr>
              <w:t>be:</w:t>
            </w:r>
          </w:p>
          <w:p w:rsidR="005956F3" w:rsidRDefault="00000000">
            <w:pPr>
              <w:pStyle w:val="TableParagraph"/>
              <w:numPr>
                <w:ilvl w:val="0"/>
                <w:numId w:val="1"/>
              </w:numPr>
              <w:tabs>
                <w:tab w:val="left" w:pos="828"/>
              </w:tabs>
              <w:spacing w:before="267"/>
              <w:ind w:right="112"/>
            </w:pPr>
            <w:r>
              <w:t>Expanded</w:t>
            </w:r>
            <w:r>
              <w:rPr>
                <w:spacing w:val="-7"/>
              </w:rPr>
              <w:t xml:space="preserve"> </w:t>
            </w:r>
            <w:r>
              <w:t>to</w:t>
            </w:r>
            <w:r>
              <w:rPr>
                <w:spacing w:val="-6"/>
              </w:rPr>
              <w:t xml:space="preserve"> </w:t>
            </w:r>
            <w:r>
              <w:t>include</w:t>
            </w:r>
            <w:r>
              <w:rPr>
                <w:spacing w:val="-7"/>
              </w:rPr>
              <w:t xml:space="preserve"> </w:t>
            </w:r>
            <w:r>
              <w:t>new</w:t>
            </w:r>
            <w:r>
              <w:rPr>
                <w:spacing w:val="-6"/>
              </w:rPr>
              <w:t xml:space="preserve"> </w:t>
            </w:r>
            <w:r>
              <w:t>datasets</w:t>
            </w:r>
            <w:r>
              <w:rPr>
                <w:spacing w:val="-10"/>
              </w:rPr>
              <w:t xml:space="preserve"> </w:t>
            </w:r>
            <w:r>
              <w:t xml:space="preserve">(e.g., food supply chain, climate change </w:t>
            </w:r>
            <w:r>
              <w:rPr>
                <w:spacing w:val="-2"/>
              </w:rPr>
              <w:t>impact).</w:t>
            </w:r>
          </w:p>
          <w:p w:rsidR="005956F3" w:rsidRDefault="005956F3">
            <w:pPr>
              <w:pStyle w:val="TableParagraph"/>
              <w:spacing w:before="1"/>
              <w:ind w:left="0"/>
              <w:rPr>
                <w:b/>
              </w:rPr>
            </w:pPr>
          </w:p>
          <w:p w:rsidR="005956F3" w:rsidRDefault="00000000">
            <w:pPr>
              <w:pStyle w:val="TableParagraph"/>
              <w:numPr>
                <w:ilvl w:val="0"/>
                <w:numId w:val="1"/>
              </w:numPr>
              <w:tabs>
                <w:tab w:val="left" w:pos="828"/>
              </w:tabs>
              <w:ind w:right="227"/>
            </w:pPr>
            <w:r>
              <w:t>Integrated</w:t>
            </w:r>
            <w:r>
              <w:rPr>
                <w:spacing w:val="-11"/>
              </w:rPr>
              <w:t xml:space="preserve"> </w:t>
            </w:r>
            <w:r>
              <w:t>with</w:t>
            </w:r>
            <w:r>
              <w:rPr>
                <w:spacing w:val="-8"/>
              </w:rPr>
              <w:t xml:space="preserve"> </w:t>
            </w:r>
            <w:r>
              <w:t>real-time</w:t>
            </w:r>
            <w:r>
              <w:rPr>
                <w:spacing w:val="-8"/>
              </w:rPr>
              <w:t xml:space="preserve"> </w:t>
            </w:r>
            <w:r>
              <w:t>data</w:t>
            </w:r>
            <w:r>
              <w:rPr>
                <w:spacing w:val="-8"/>
              </w:rPr>
              <w:t xml:space="preserve"> </w:t>
            </w:r>
            <w:r>
              <w:t>sources for up-to-date analysis.</w:t>
            </w:r>
          </w:p>
          <w:p w:rsidR="005956F3" w:rsidRDefault="00000000">
            <w:pPr>
              <w:pStyle w:val="TableParagraph"/>
              <w:numPr>
                <w:ilvl w:val="0"/>
                <w:numId w:val="1"/>
              </w:numPr>
              <w:tabs>
                <w:tab w:val="left" w:pos="828"/>
              </w:tabs>
              <w:spacing w:before="268"/>
              <w:ind w:right="102"/>
            </w:pPr>
            <w:r>
              <w:t>Extended to other health-related challenges</w:t>
            </w:r>
            <w:r>
              <w:rPr>
                <w:spacing w:val="-8"/>
              </w:rPr>
              <w:t xml:space="preserve"> </w:t>
            </w:r>
            <w:r>
              <w:t>like</w:t>
            </w:r>
            <w:r>
              <w:rPr>
                <w:spacing w:val="-8"/>
              </w:rPr>
              <w:t xml:space="preserve"> </w:t>
            </w:r>
            <w:r>
              <w:t>child</w:t>
            </w:r>
            <w:r>
              <w:rPr>
                <w:spacing w:val="-12"/>
              </w:rPr>
              <w:t xml:space="preserve"> </w:t>
            </w:r>
            <w:r>
              <w:t>mortality,</w:t>
            </w:r>
            <w:r>
              <w:rPr>
                <w:spacing w:val="-10"/>
              </w:rPr>
              <w:t xml:space="preserve"> </w:t>
            </w:r>
            <w:r>
              <w:t>maternal health, and poverty analysis.</w:t>
            </w:r>
          </w:p>
          <w:p w:rsidR="005956F3" w:rsidRDefault="005956F3">
            <w:pPr>
              <w:pStyle w:val="TableParagraph"/>
              <w:spacing w:before="1"/>
              <w:ind w:left="0"/>
              <w:rPr>
                <w:b/>
              </w:rPr>
            </w:pPr>
          </w:p>
          <w:p w:rsidR="005956F3" w:rsidRDefault="00000000">
            <w:pPr>
              <w:pStyle w:val="TableParagraph"/>
              <w:numPr>
                <w:ilvl w:val="0"/>
                <w:numId w:val="1"/>
              </w:numPr>
              <w:tabs>
                <w:tab w:val="left" w:pos="828"/>
              </w:tabs>
              <w:ind w:right="323"/>
            </w:pPr>
            <w:r>
              <w:t>Scaled globally, benefiting multiple countries,</w:t>
            </w:r>
            <w:r>
              <w:rPr>
                <w:spacing w:val="-13"/>
              </w:rPr>
              <w:t xml:space="preserve"> </w:t>
            </w:r>
            <w:r>
              <w:t>government</w:t>
            </w:r>
            <w:r>
              <w:rPr>
                <w:spacing w:val="-12"/>
              </w:rPr>
              <w:t xml:space="preserve"> </w:t>
            </w:r>
            <w:r>
              <w:t>organizations, and non-profits in decision-making</w:t>
            </w:r>
          </w:p>
          <w:p w:rsidR="005956F3" w:rsidRDefault="00000000">
            <w:pPr>
              <w:pStyle w:val="TableParagraph"/>
              <w:spacing w:line="250" w:lineRule="exact"/>
              <w:ind w:left="828"/>
            </w:pPr>
            <w:r>
              <w:rPr>
                <w:spacing w:val="-2"/>
              </w:rPr>
              <w:t>processes.</w:t>
            </w:r>
          </w:p>
        </w:tc>
      </w:tr>
    </w:tbl>
    <w:p w:rsidR="00C831BC" w:rsidRDefault="00C831BC"/>
    <w:sectPr w:rsidR="00C831BC">
      <w:type w:val="continuous"/>
      <w:pgSz w:w="11910" w:h="16840"/>
      <w:pgMar w:top="82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B28ED"/>
    <w:multiLevelType w:val="hybridMultilevel"/>
    <w:tmpl w:val="93CC883E"/>
    <w:lvl w:ilvl="0" w:tplc="4ADEB996">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32F2E6C8">
      <w:numFmt w:val="bullet"/>
      <w:lvlText w:val="•"/>
      <w:lvlJc w:val="left"/>
      <w:pPr>
        <w:ind w:left="1187" w:hanging="360"/>
      </w:pPr>
      <w:rPr>
        <w:rFonts w:hint="default"/>
        <w:lang w:val="en-US" w:eastAsia="en-US" w:bidi="ar-SA"/>
      </w:rPr>
    </w:lvl>
    <w:lvl w:ilvl="2" w:tplc="3BD028C8">
      <w:numFmt w:val="bullet"/>
      <w:lvlText w:val="•"/>
      <w:lvlJc w:val="left"/>
      <w:pPr>
        <w:ind w:left="1555" w:hanging="360"/>
      </w:pPr>
      <w:rPr>
        <w:rFonts w:hint="default"/>
        <w:lang w:val="en-US" w:eastAsia="en-US" w:bidi="ar-SA"/>
      </w:rPr>
    </w:lvl>
    <w:lvl w:ilvl="3" w:tplc="0E80AB88">
      <w:numFmt w:val="bullet"/>
      <w:lvlText w:val="•"/>
      <w:lvlJc w:val="left"/>
      <w:pPr>
        <w:ind w:left="1923" w:hanging="360"/>
      </w:pPr>
      <w:rPr>
        <w:rFonts w:hint="default"/>
        <w:lang w:val="en-US" w:eastAsia="en-US" w:bidi="ar-SA"/>
      </w:rPr>
    </w:lvl>
    <w:lvl w:ilvl="4" w:tplc="01FA1D98">
      <w:numFmt w:val="bullet"/>
      <w:lvlText w:val="•"/>
      <w:lvlJc w:val="left"/>
      <w:pPr>
        <w:ind w:left="2290" w:hanging="360"/>
      </w:pPr>
      <w:rPr>
        <w:rFonts w:hint="default"/>
        <w:lang w:val="en-US" w:eastAsia="en-US" w:bidi="ar-SA"/>
      </w:rPr>
    </w:lvl>
    <w:lvl w:ilvl="5" w:tplc="CDB4F16E">
      <w:numFmt w:val="bullet"/>
      <w:lvlText w:val="•"/>
      <w:lvlJc w:val="left"/>
      <w:pPr>
        <w:ind w:left="2658" w:hanging="360"/>
      </w:pPr>
      <w:rPr>
        <w:rFonts w:hint="default"/>
        <w:lang w:val="en-US" w:eastAsia="en-US" w:bidi="ar-SA"/>
      </w:rPr>
    </w:lvl>
    <w:lvl w:ilvl="6" w:tplc="9CDE5A60">
      <w:numFmt w:val="bullet"/>
      <w:lvlText w:val="•"/>
      <w:lvlJc w:val="left"/>
      <w:pPr>
        <w:ind w:left="3026" w:hanging="360"/>
      </w:pPr>
      <w:rPr>
        <w:rFonts w:hint="default"/>
        <w:lang w:val="en-US" w:eastAsia="en-US" w:bidi="ar-SA"/>
      </w:rPr>
    </w:lvl>
    <w:lvl w:ilvl="7" w:tplc="AEC2CA9C">
      <w:numFmt w:val="bullet"/>
      <w:lvlText w:val="•"/>
      <w:lvlJc w:val="left"/>
      <w:pPr>
        <w:ind w:left="3393" w:hanging="360"/>
      </w:pPr>
      <w:rPr>
        <w:rFonts w:hint="default"/>
        <w:lang w:val="en-US" w:eastAsia="en-US" w:bidi="ar-SA"/>
      </w:rPr>
    </w:lvl>
    <w:lvl w:ilvl="8" w:tplc="4E54734E">
      <w:numFmt w:val="bullet"/>
      <w:lvlText w:val="•"/>
      <w:lvlJc w:val="left"/>
      <w:pPr>
        <w:ind w:left="3761" w:hanging="360"/>
      </w:pPr>
      <w:rPr>
        <w:rFonts w:hint="default"/>
        <w:lang w:val="en-US" w:eastAsia="en-US" w:bidi="ar-SA"/>
      </w:rPr>
    </w:lvl>
  </w:abstractNum>
  <w:abstractNum w:abstractNumId="1" w15:restartNumberingAfterBreak="0">
    <w:nsid w:val="30EA48DF"/>
    <w:multiLevelType w:val="hybridMultilevel"/>
    <w:tmpl w:val="B6D488AA"/>
    <w:lvl w:ilvl="0" w:tplc="85045220">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0680D3D6">
      <w:numFmt w:val="bullet"/>
      <w:lvlText w:val="•"/>
      <w:lvlJc w:val="left"/>
      <w:pPr>
        <w:ind w:left="1187" w:hanging="360"/>
      </w:pPr>
      <w:rPr>
        <w:rFonts w:hint="default"/>
        <w:lang w:val="en-US" w:eastAsia="en-US" w:bidi="ar-SA"/>
      </w:rPr>
    </w:lvl>
    <w:lvl w:ilvl="2" w:tplc="43D0D69E">
      <w:numFmt w:val="bullet"/>
      <w:lvlText w:val="•"/>
      <w:lvlJc w:val="left"/>
      <w:pPr>
        <w:ind w:left="1555" w:hanging="360"/>
      </w:pPr>
      <w:rPr>
        <w:rFonts w:hint="default"/>
        <w:lang w:val="en-US" w:eastAsia="en-US" w:bidi="ar-SA"/>
      </w:rPr>
    </w:lvl>
    <w:lvl w:ilvl="3" w:tplc="12F23B3C">
      <w:numFmt w:val="bullet"/>
      <w:lvlText w:val="•"/>
      <w:lvlJc w:val="left"/>
      <w:pPr>
        <w:ind w:left="1923" w:hanging="360"/>
      </w:pPr>
      <w:rPr>
        <w:rFonts w:hint="default"/>
        <w:lang w:val="en-US" w:eastAsia="en-US" w:bidi="ar-SA"/>
      </w:rPr>
    </w:lvl>
    <w:lvl w:ilvl="4" w:tplc="C4E05C6A">
      <w:numFmt w:val="bullet"/>
      <w:lvlText w:val="•"/>
      <w:lvlJc w:val="left"/>
      <w:pPr>
        <w:ind w:left="2290" w:hanging="360"/>
      </w:pPr>
      <w:rPr>
        <w:rFonts w:hint="default"/>
        <w:lang w:val="en-US" w:eastAsia="en-US" w:bidi="ar-SA"/>
      </w:rPr>
    </w:lvl>
    <w:lvl w:ilvl="5" w:tplc="A76684B4">
      <w:numFmt w:val="bullet"/>
      <w:lvlText w:val="•"/>
      <w:lvlJc w:val="left"/>
      <w:pPr>
        <w:ind w:left="2658" w:hanging="360"/>
      </w:pPr>
      <w:rPr>
        <w:rFonts w:hint="default"/>
        <w:lang w:val="en-US" w:eastAsia="en-US" w:bidi="ar-SA"/>
      </w:rPr>
    </w:lvl>
    <w:lvl w:ilvl="6" w:tplc="64384472">
      <w:numFmt w:val="bullet"/>
      <w:lvlText w:val="•"/>
      <w:lvlJc w:val="left"/>
      <w:pPr>
        <w:ind w:left="3026" w:hanging="360"/>
      </w:pPr>
      <w:rPr>
        <w:rFonts w:hint="default"/>
        <w:lang w:val="en-US" w:eastAsia="en-US" w:bidi="ar-SA"/>
      </w:rPr>
    </w:lvl>
    <w:lvl w:ilvl="7" w:tplc="33D602F8">
      <w:numFmt w:val="bullet"/>
      <w:lvlText w:val="•"/>
      <w:lvlJc w:val="left"/>
      <w:pPr>
        <w:ind w:left="3393" w:hanging="360"/>
      </w:pPr>
      <w:rPr>
        <w:rFonts w:hint="default"/>
        <w:lang w:val="en-US" w:eastAsia="en-US" w:bidi="ar-SA"/>
      </w:rPr>
    </w:lvl>
    <w:lvl w:ilvl="8" w:tplc="1FECF500">
      <w:numFmt w:val="bullet"/>
      <w:lvlText w:val="•"/>
      <w:lvlJc w:val="left"/>
      <w:pPr>
        <w:ind w:left="3761" w:hanging="360"/>
      </w:pPr>
      <w:rPr>
        <w:rFonts w:hint="default"/>
        <w:lang w:val="en-US" w:eastAsia="en-US" w:bidi="ar-SA"/>
      </w:rPr>
    </w:lvl>
  </w:abstractNum>
  <w:abstractNum w:abstractNumId="2" w15:restartNumberingAfterBreak="0">
    <w:nsid w:val="55F13EBC"/>
    <w:multiLevelType w:val="hybridMultilevel"/>
    <w:tmpl w:val="D22695EE"/>
    <w:lvl w:ilvl="0" w:tplc="57B65148">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8A82284C">
      <w:numFmt w:val="bullet"/>
      <w:lvlText w:val="•"/>
      <w:lvlJc w:val="left"/>
      <w:pPr>
        <w:ind w:left="1187" w:hanging="360"/>
      </w:pPr>
      <w:rPr>
        <w:rFonts w:hint="default"/>
        <w:lang w:val="en-US" w:eastAsia="en-US" w:bidi="ar-SA"/>
      </w:rPr>
    </w:lvl>
    <w:lvl w:ilvl="2" w:tplc="6A965CAA">
      <w:numFmt w:val="bullet"/>
      <w:lvlText w:val="•"/>
      <w:lvlJc w:val="left"/>
      <w:pPr>
        <w:ind w:left="1555" w:hanging="360"/>
      </w:pPr>
      <w:rPr>
        <w:rFonts w:hint="default"/>
        <w:lang w:val="en-US" w:eastAsia="en-US" w:bidi="ar-SA"/>
      </w:rPr>
    </w:lvl>
    <w:lvl w:ilvl="3" w:tplc="521A3E5E">
      <w:numFmt w:val="bullet"/>
      <w:lvlText w:val="•"/>
      <w:lvlJc w:val="left"/>
      <w:pPr>
        <w:ind w:left="1923" w:hanging="360"/>
      </w:pPr>
      <w:rPr>
        <w:rFonts w:hint="default"/>
        <w:lang w:val="en-US" w:eastAsia="en-US" w:bidi="ar-SA"/>
      </w:rPr>
    </w:lvl>
    <w:lvl w:ilvl="4" w:tplc="17A09B72">
      <w:numFmt w:val="bullet"/>
      <w:lvlText w:val="•"/>
      <w:lvlJc w:val="left"/>
      <w:pPr>
        <w:ind w:left="2290" w:hanging="360"/>
      </w:pPr>
      <w:rPr>
        <w:rFonts w:hint="default"/>
        <w:lang w:val="en-US" w:eastAsia="en-US" w:bidi="ar-SA"/>
      </w:rPr>
    </w:lvl>
    <w:lvl w:ilvl="5" w:tplc="E9E0D8BE">
      <w:numFmt w:val="bullet"/>
      <w:lvlText w:val="•"/>
      <w:lvlJc w:val="left"/>
      <w:pPr>
        <w:ind w:left="2658" w:hanging="360"/>
      </w:pPr>
      <w:rPr>
        <w:rFonts w:hint="default"/>
        <w:lang w:val="en-US" w:eastAsia="en-US" w:bidi="ar-SA"/>
      </w:rPr>
    </w:lvl>
    <w:lvl w:ilvl="6" w:tplc="6B8C4806">
      <w:numFmt w:val="bullet"/>
      <w:lvlText w:val="•"/>
      <w:lvlJc w:val="left"/>
      <w:pPr>
        <w:ind w:left="3026" w:hanging="360"/>
      </w:pPr>
      <w:rPr>
        <w:rFonts w:hint="default"/>
        <w:lang w:val="en-US" w:eastAsia="en-US" w:bidi="ar-SA"/>
      </w:rPr>
    </w:lvl>
    <w:lvl w:ilvl="7" w:tplc="9782FF42">
      <w:numFmt w:val="bullet"/>
      <w:lvlText w:val="•"/>
      <w:lvlJc w:val="left"/>
      <w:pPr>
        <w:ind w:left="3393" w:hanging="360"/>
      </w:pPr>
      <w:rPr>
        <w:rFonts w:hint="default"/>
        <w:lang w:val="en-US" w:eastAsia="en-US" w:bidi="ar-SA"/>
      </w:rPr>
    </w:lvl>
    <w:lvl w:ilvl="8" w:tplc="1354F168">
      <w:numFmt w:val="bullet"/>
      <w:lvlText w:val="•"/>
      <w:lvlJc w:val="left"/>
      <w:pPr>
        <w:ind w:left="3761" w:hanging="360"/>
      </w:pPr>
      <w:rPr>
        <w:rFonts w:hint="default"/>
        <w:lang w:val="en-US" w:eastAsia="en-US" w:bidi="ar-SA"/>
      </w:rPr>
    </w:lvl>
  </w:abstractNum>
  <w:abstractNum w:abstractNumId="3" w15:restartNumberingAfterBreak="0">
    <w:nsid w:val="7B136752"/>
    <w:multiLevelType w:val="hybridMultilevel"/>
    <w:tmpl w:val="13786668"/>
    <w:lvl w:ilvl="0" w:tplc="445E42C2">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932A4A50">
      <w:numFmt w:val="bullet"/>
      <w:lvlText w:val="•"/>
      <w:lvlJc w:val="left"/>
      <w:pPr>
        <w:ind w:left="1187" w:hanging="360"/>
      </w:pPr>
      <w:rPr>
        <w:rFonts w:hint="default"/>
        <w:lang w:val="en-US" w:eastAsia="en-US" w:bidi="ar-SA"/>
      </w:rPr>
    </w:lvl>
    <w:lvl w:ilvl="2" w:tplc="500E7CA0">
      <w:numFmt w:val="bullet"/>
      <w:lvlText w:val="•"/>
      <w:lvlJc w:val="left"/>
      <w:pPr>
        <w:ind w:left="1555" w:hanging="360"/>
      </w:pPr>
      <w:rPr>
        <w:rFonts w:hint="default"/>
        <w:lang w:val="en-US" w:eastAsia="en-US" w:bidi="ar-SA"/>
      </w:rPr>
    </w:lvl>
    <w:lvl w:ilvl="3" w:tplc="94483400">
      <w:numFmt w:val="bullet"/>
      <w:lvlText w:val="•"/>
      <w:lvlJc w:val="left"/>
      <w:pPr>
        <w:ind w:left="1923" w:hanging="360"/>
      </w:pPr>
      <w:rPr>
        <w:rFonts w:hint="default"/>
        <w:lang w:val="en-US" w:eastAsia="en-US" w:bidi="ar-SA"/>
      </w:rPr>
    </w:lvl>
    <w:lvl w:ilvl="4" w:tplc="5F98E140">
      <w:numFmt w:val="bullet"/>
      <w:lvlText w:val="•"/>
      <w:lvlJc w:val="left"/>
      <w:pPr>
        <w:ind w:left="2290" w:hanging="360"/>
      </w:pPr>
      <w:rPr>
        <w:rFonts w:hint="default"/>
        <w:lang w:val="en-US" w:eastAsia="en-US" w:bidi="ar-SA"/>
      </w:rPr>
    </w:lvl>
    <w:lvl w:ilvl="5" w:tplc="D388AB44">
      <w:numFmt w:val="bullet"/>
      <w:lvlText w:val="•"/>
      <w:lvlJc w:val="left"/>
      <w:pPr>
        <w:ind w:left="2658" w:hanging="360"/>
      </w:pPr>
      <w:rPr>
        <w:rFonts w:hint="default"/>
        <w:lang w:val="en-US" w:eastAsia="en-US" w:bidi="ar-SA"/>
      </w:rPr>
    </w:lvl>
    <w:lvl w:ilvl="6" w:tplc="C0C0185E">
      <w:numFmt w:val="bullet"/>
      <w:lvlText w:val="•"/>
      <w:lvlJc w:val="left"/>
      <w:pPr>
        <w:ind w:left="3026" w:hanging="360"/>
      </w:pPr>
      <w:rPr>
        <w:rFonts w:hint="default"/>
        <w:lang w:val="en-US" w:eastAsia="en-US" w:bidi="ar-SA"/>
      </w:rPr>
    </w:lvl>
    <w:lvl w:ilvl="7" w:tplc="52A62296">
      <w:numFmt w:val="bullet"/>
      <w:lvlText w:val="•"/>
      <w:lvlJc w:val="left"/>
      <w:pPr>
        <w:ind w:left="3393" w:hanging="360"/>
      </w:pPr>
      <w:rPr>
        <w:rFonts w:hint="default"/>
        <w:lang w:val="en-US" w:eastAsia="en-US" w:bidi="ar-SA"/>
      </w:rPr>
    </w:lvl>
    <w:lvl w:ilvl="8" w:tplc="3B64D020">
      <w:numFmt w:val="bullet"/>
      <w:lvlText w:val="•"/>
      <w:lvlJc w:val="left"/>
      <w:pPr>
        <w:ind w:left="3761" w:hanging="360"/>
      </w:pPr>
      <w:rPr>
        <w:rFonts w:hint="default"/>
        <w:lang w:val="en-US" w:eastAsia="en-US" w:bidi="ar-SA"/>
      </w:rPr>
    </w:lvl>
  </w:abstractNum>
  <w:num w:numId="1" w16cid:durableId="485822500">
    <w:abstractNumId w:val="1"/>
  </w:num>
  <w:num w:numId="2" w16cid:durableId="93942583">
    <w:abstractNumId w:val="0"/>
  </w:num>
  <w:num w:numId="3" w16cid:durableId="736439245">
    <w:abstractNumId w:val="3"/>
  </w:num>
  <w:num w:numId="4" w16cid:durableId="127193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56F3"/>
    <w:rsid w:val="004E5A8B"/>
    <w:rsid w:val="005956F3"/>
    <w:rsid w:val="008B07EE"/>
    <w:rsid w:val="00C8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2149"/>
  <w15:docId w15:val="{452D34E4-A767-4A33-8924-9B28C80F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shubhamsavantsavant@outlook.com</cp:lastModifiedBy>
  <cp:revision>2</cp:revision>
  <dcterms:created xsi:type="dcterms:W3CDTF">2025-03-13T07:35:00Z</dcterms:created>
  <dcterms:modified xsi:type="dcterms:W3CDTF">2025-03-13T07:36:00Z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2025-03-13T00:00:00Z</vt:filetime>
  </property>
  <property fmtid="{D5CDD505-2E9C-101B-9397-08002B2CF9AE}" pid="5" name="Producer">
    <vt:lpwstr>Microsoft® Word 2021</vt:lpwstr>
  </property>
</Properties>
</file>