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6"/>
          <w:szCs w:val="26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34"/>
          <w:szCs w:val="34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d5dbdf" w:space="0" w:sz="4" w:val="single"/>
          <w:left w:color="d5dbdf" w:space="0" w:sz="4" w:val="single"/>
          <w:bottom w:color="d5dbdf" w:space="0" w:sz="4" w:val="single"/>
          <w:right w:color="d5dbdf" w:space="0" w:sz="4" w:val="single"/>
          <w:insideH w:color="d5dbdf" w:space="0" w:sz="4" w:val="single"/>
          <w:insideV w:color="d5dbdf" w:space="0" w:sz="4" w:val="single"/>
        </w:tblBorders>
        <w:tblLayout w:type="fixed"/>
        <w:tblLook w:val="0000"/>
      </w:tblPr>
      <w:tblGrid>
        <w:gridCol w:w="3100"/>
        <w:gridCol w:w="6250"/>
        <w:tblGridChange w:id="0">
          <w:tblGrid>
            <w:gridCol w:w="3100"/>
            <w:gridCol w:w="6250"/>
          </w:tblGrid>
        </w:tblGridChange>
      </w:tblGrid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20"/>
                <w:szCs w:val="20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23"/>
          <w:szCs w:val="23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1"/>
          <w:szCs w:val="21"/>
          <w:rtl w:val="0"/>
        </w:rPr>
        <w:t xml:space="preserve">Solution architecture is a complex process — with many sub-processes — that bridges the gap between business problems and technology solutions. Its goals are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Find the best technology solution to solve the existing network change request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Describe the structure, characteristics, behavior, and other aspects of the ServiceNow solution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1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3"/>
          <w:szCs w:val="23"/>
          <w:rtl w:val="0"/>
        </w:rPr>
        <w:t xml:space="preserve">Proposed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1"/>
          <w:szCs w:val="21"/>
          <w:rtl w:val="0"/>
        </w:rPr>
        <w:t xml:space="preserve">The solution is architected natively on the ServiceNow platform, spanning four functional layers: a self-service intake layer, a workflow and validation layer, an orchestration and fulfillment layer, and an audit / reporting layer. Together these layers automate the full lifecycle of a network change request — from submission to audit-ready closure — while keeping the CMDB continuously synchronized with the real network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23"/>
          <w:szCs w:val="23"/>
          <w:rtl w:val="0"/>
        </w:rPr>
        <w:t xml:space="preserve">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2925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4"/>
          <w:sz w:val="18"/>
          <w:szCs w:val="18"/>
          <w:rtl w:val="0"/>
        </w:rPr>
        <w:t xml:space="preserve">Figure 1: Solution architecture and data flow of the Automated Network Request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1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3"/>
          <w:szCs w:val="23"/>
          <w:rtl w:val="0"/>
        </w:rPr>
        <w:t xml:space="preserve">Architecture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Requesters submit a network change request through the ServiceNow Service Portal using a guided Network Request catalog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Flow Designer automatically validates the request (mandatory fields, duplicate check, CMDB correlation) and classifies it by network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The validated request is routed into ServiceNow Change Management, which drives a risk-based, automated approval workflow with the appropriate approvers or CAB.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Once approved, Orchestration / IntegrationHub triggers automated fulfillment, executing the configuration change on the relevant network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The CMDB is automatically updated with the new configuration state, and discovery/reconciliation confirms the change matches the live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1"/>
          <w:szCs w:val="21"/>
          <w:u w:val="none"/>
          <w:shd w:fill="auto" w:val="clear"/>
          <w:vertAlign w:val="baseline"/>
          <w:rtl w:val="0"/>
        </w:rPr>
        <w:t xml:space="preserve">An audit-ready change record is generated automatically, and the requester is notified of completion; performance analytics dashboards capture SLA and compliance metrics.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b6b74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Automated Network Request Management — ServiceNow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HiKWt9CoG0+6RWsEWLD9rFeOA==">CgMxLjA4AHIhMWZHZHBVMG54Z2JCRS12YkJnakl0TXk4NC1rV2xYby05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