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Calibri" w:cs="Calibri" w:eastAsia="Calibri" w:hAnsi="Calibri"/>
          <w:b w:val="1"/>
          <w:bCs w:val="1"/>
          <w:color w:val="03b1a5"/>
          <w:sz w:val="26"/>
          <w:szCs w:val="26"/>
          <w:rtl w:val="0"/>
        </w:rPr>
        <w:t xml:space="preserve">Project Design Phase</w:t>
      </w:r>
      <w:r w:rsidDel="00000000" w:rsidR="00000000" w:rsidRPr="00000000">
        <w:rPr>
          <w:rtl w:val="0"/>
        </w:rPr>
      </w:r>
    </w:p>
    <w:p w:rsidR="00000000" w:rsidDel="00000000" w:rsidP="00000000" w:rsidRDefault="00000000" w:rsidRPr="00000000" w14:paraId="00000002">
      <w:pPr>
        <w:spacing w:after="220" w:lineRule="auto"/>
        <w:rPr/>
      </w:pPr>
      <w:r w:rsidDel="00000000" w:rsidR="00000000" w:rsidRPr="00000000">
        <w:rPr>
          <w:rFonts w:ascii="Calibri" w:cs="Calibri" w:eastAsia="Calibri" w:hAnsi="Calibri"/>
          <w:b w:val="1"/>
          <w:bCs w:val="1"/>
          <w:color w:val="0b2e4f"/>
          <w:sz w:val="34"/>
          <w:szCs w:val="34"/>
          <w:rtl w:val="0"/>
        </w:rPr>
        <w:t xml:space="preserve">Proposed Solution Template</w:t>
      </w:r>
      <w:r w:rsidDel="00000000" w:rsidR="00000000" w:rsidRPr="00000000">
        <w:rPr>
          <w:rtl w:val="0"/>
        </w:rPr>
      </w:r>
    </w:p>
    <w:tbl>
      <w:tblPr>
        <w:tblStyle w:val="Table1"/>
        <w:tblW w:w="9350.0" w:type="dxa"/>
        <w:jc w:val="left"/>
        <w:tblBorders>
          <w:top w:color="d5dbdf" w:space="0" w:sz="4" w:val="single"/>
          <w:left w:color="d5dbdf" w:space="0" w:sz="4" w:val="single"/>
          <w:bottom w:color="d5dbdf" w:space="0" w:sz="4" w:val="single"/>
          <w:right w:color="d5dbdf" w:space="0" w:sz="4" w:val="single"/>
          <w:insideH w:color="d5dbdf" w:space="0" w:sz="4" w:val="single"/>
          <w:insideV w:color="d5dbdf"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color w:val="0b2e4f"/>
                <w:sz w:val="20"/>
                <w:szCs w:val="20"/>
                <w:rtl w:val="0"/>
              </w:rPr>
              <w:t xml:space="preserve">Date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4">
            <w:pPr>
              <w:rPr/>
            </w:pP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0b2e4f"/>
                <w:sz w:val="20"/>
                <w:szCs w:val="20"/>
                <w:rtl w:val="0"/>
              </w:rPr>
              <w:t xml:space="preserve">Team ID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0b2e4f"/>
                <w:sz w:val="20"/>
                <w:szCs w:val="20"/>
                <w:rtl w:val="0"/>
              </w:rPr>
              <w:t xml:space="preserve">Project Name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color w:val="26343e"/>
                <w:sz w:val="20"/>
                <w:szCs w:val="20"/>
                <w:rtl w:val="0"/>
              </w:rPr>
              <w:t xml:space="preserve">Automated Network Request Management in ServiceNow</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0b2e4f"/>
                <w:sz w:val="20"/>
                <w:szCs w:val="20"/>
                <w:rtl w:val="0"/>
              </w:rPr>
              <w:t xml:space="preserve">Maximum Marks</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color w:val="26343e"/>
                <w:sz w:val="20"/>
                <w:szCs w:val="20"/>
                <w:rtl w:val="0"/>
              </w:rPr>
              <w:t xml:space="preserve">2 Marks</w:t>
            </w:r>
            <w:r w:rsidDel="00000000" w:rsidR="00000000" w:rsidRPr="00000000">
              <w:rPr>
                <w:rtl w:val="0"/>
              </w:rPr>
            </w:r>
          </w:p>
        </w:tc>
      </w:tr>
    </w:tbl>
    <w:p w:rsidR="00000000" w:rsidDel="00000000" w:rsidP="00000000" w:rsidRDefault="00000000" w:rsidRPr="00000000" w14:paraId="0000000B">
      <w:pPr>
        <w:spacing w:after="100" w:before="260" w:lineRule="auto"/>
        <w:rPr/>
      </w:pPr>
      <w:r w:rsidDel="00000000" w:rsidR="00000000" w:rsidRPr="00000000">
        <w:rPr>
          <w:rFonts w:ascii="Calibri" w:cs="Calibri" w:eastAsia="Calibri" w:hAnsi="Calibri"/>
          <w:b w:val="1"/>
          <w:bCs w:val="1"/>
          <w:color w:val="0b2e4f"/>
          <w:sz w:val="23"/>
          <w:szCs w:val="23"/>
          <w:rtl w:val="0"/>
        </w:rPr>
        <w:t xml:space="preserve">Proposed Solution Template:</w:t>
      </w:r>
      <w:r w:rsidDel="00000000" w:rsidR="00000000" w:rsidRPr="00000000">
        <w:rPr>
          <w:rtl w:val="0"/>
        </w:rPr>
      </w:r>
    </w:p>
    <w:p w:rsidR="00000000" w:rsidDel="00000000" w:rsidP="00000000" w:rsidRDefault="00000000" w:rsidRPr="00000000" w14:paraId="0000000C">
      <w:pPr>
        <w:spacing w:after="140" w:line="276" w:lineRule="auto"/>
        <w:rPr/>
      </w:pPr>
      <w:r w:rsidDel="00000000" w:rsidR="00000000" w:rsidRPr="00000000">
        <w:rPr>
          <w:rFonts w:ascii="Calibri" w:cs="Calibri" w:eastAsia="Calibri" w:hAnsi="Calibri"/>
          <w:color w:val="26343e"/>
          <w:sz w:val="21"/>
          <w:szCs w:val="21"/>
          <w:rtl w:val="0"/>
        </w:rPr>
        <w:t xml:space="preserve">The following information describes the proposed solution for Automated Network Request Management in ServiceNow.</w:t>
      </w:r>
      <w:r w:rsidDel="00000000" w:rsidR="00000000" w:rsidRPr="00000000">
        <w:rPr>
          <w:rtl w:val="0"/>
        </w:rPr>
      </w:r>
    </w:p>
    <w:p w:rsidR="00000000" w:rsidDel="00000000" w:rsidP="00000000" w:rsidRDefault="00000000" w:rsidRPr="00000000" w14:paraId="0000000D">
      <w:pPr>
        <w:spacing w:before="120" w:lineRule="auto"/>
        <w:rPr/>
      </w:pPr>
      <w:r w:rsidDel="00000000" w:rsidR="00000000" w:rsidRPr="00000000">
        <w:rPr>
          <w:rtl w:val="0"/>
        </w:rPr>
      </w:r>
    </w:p>
    <w:tbl>
      <w:tblPr>
        <w:tblStyle w:val="Table2"/>
        <w:tblW w:w="9350.0" w:type="dxa"/>
        <w:jc w:val="left"/>
        <w:tblBorders>
          <w:top w:color="d5dbdf" w:space="0" w:sz="4" w:val="single"/>
          <w:left w:color="d5dbdf" w:space="0" w:sz="4" w:val="single"/>
          <w:bottom w:color="d5dbdf" w:space="0" w:sz="4" w:val="single"/>
          <w:right w:color="d5dbdf" w:space="0" w:sz="4" w:val="single"/>
          <w:insideH w:color="d5dbdf" w:space="0" w:sz="4" w:val="single"/>
          <w:insideV w:color="d5dbdf" w:space="0" w:sz="4" w:val="single"/>
        </w:tblBorders>
        <w:tblLayout w:type="fixed"/>
        <w:tblLook w:val="0000"/>
      </w:tblPr>
      <w:tblGrid>
        <w:gridCol w:w="620"/>
        <w:gridCol w:w="2400"/>
        <w:gridCol w:w="6330"/>
        <w:tblGridChange w:id="0">
          <w:tblGrid>
            <w:gridCol w:w="620"/>
            <w:gridCol w:w="2400"/>
            <w:gridCol w:w="6330"/>
          </w:tblGrid>
        </w:tblGridChange>
      </w:tblGrid>
      <w:tr>
        <w:trPr>
          <w:cantSplit w:val="0"/>
          <w:tblHeader w:val="1"/>
        </w:trPr>
        <w:tc>
          <w:tcPr>
            <w:shd w:fill="0b2e4f" w:val="clear"/>
            <w:tcMar>
              <w:top w:w="100.0" w:type="dxa"/>
              <w:left w:w="100.0" w:type="dxa"/>
              <w:bottom w:w="100.0" w:type="dxa"/>
              <w:right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9"/>
                <w:szCs w:val="19"/>
                <w:rtl w:val="0"/>
              </w:rPr>
              <w:t xml:space="preserve">S.No.</w:t>
            </w:r>
            <w:r w:rsidDel="00000000" w:rsidR="00000000" w:rsidRPr="00000000">
              <w:rPr>
                <w:rtl w:val="0"/>
              </w:rPr>
            </w:r>
          </w:p>
        </w:tc>
        <w:tc>
          <w:tcPr>
            <w:shd w:fill="0b2e4f" w:val="clea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9"/>
                <w:szCs w:val="19"/>
                <w:rtl w:val="0"/>
              </w:rPr>
              <w:t xml:space="preserve">Parameter</w:t>
            </w:r>
            <w:r w:rsidDel="00000000" w:rsidR="00000000" w:rsidRPr="00000000">
              <w:rPr>
                <w:rtl w:val="0"/>
              </w:rPr>
            </w:r>
          </w:p>
        </w:tc>
        <w:tc>
          <w:tcPr>
            <w:shd w:fill="0b2e4f" w:val="clea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19"/>
                <w:szCs w:val="19"/>
                <w:rtl w:val="0"/>
              </w:rPr>
              <w:t xml:space="preserve">Description</w:t>
            </w:r>
            <w:r w:rsidDel="00000000" w:rsidR="00000000" w:rsidRPr="00000000">
              <w:rPr>
                <w:rtl w:val="0"/>
              </w:rPr>
            </w:r>
          </w:p>
        </w:tc>
      </w:tr>
      <w:tr>
        <w:trPr>
          <w:cantSplit w:val="0"/>
          <w:tblHeader w:val="0"/>
        </w:trPr>
        <w:tc>
          <w:tcPr>
            <w:shd w:fill="f2f4f6" w:val="clear"/>
            <w:tcMar>
              <w:top w:w="110.0" w:type="dxa"/>
              <w:left w:w="100.0" w:type="dxa"/>
              <w:bottom w:w="110.0" w:type="dxa"/>
              <w:right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0b2e4f"/>
                <w:sz w:val="19"/>
                <w:szCs w:val="19"/>
                <w:rtl w:val="0"/>
              </w:rPr>
              <w:t xml:space="preserve">1.</w:t>
            </w:r>
            <w:r w:rsidDel="00000000" w:rsidR="00000000" w:rsidRPr="00000000">
              <w:rPr>
                <w:rtl w:val="0"/>
              </w:rPr>
            </w:r>
          </w:p>
        </w:tc>
        <w:tc>
          <w:tcPr>
            <w:shd w:fill="f2f4f6" w:val="clear"/>
            <w:tcMar>
              <w:top w:w="110.0" w:type="dxa"/>
              <w:left w:w="120.0" w:type="dxa"/>
              <w:bottom w:w="11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0b2e4f"/>
                <w:sz w:val="19"/>
                <w:szCs w:val="19"/>
                <w:rtl w:val="0"/>
              </w:rPr>
              <w:t xml:space="preserve">Problem Statement (Problem to be solved)</w:t>
            </w:r>
            <w:r w:rsidDel="00000000" w:rsidR="00000000" w:rsidRPr="00000000">
              <w:rPr>
                <w:rtl w:val="0"/>
              </w:rPr>
            </w:r>
          </w:p>
        </w:tc>
        <w:tc>
          <w:tcPr>
            <w:shd w:fill="f2f4f6" w:val="clear"/>
            <w:tcMar>
              <w:top w:w="110.0" w:type="dxa"/>
              <w:left w:w="120.0" w:type="dxa"/>
              <w:bottom w:w="110.0" w:type="dxa"/>
              <w:right w:w="120.0" w:type="dxa"/>
            </w:tcMar>
            <w:vAlign w:val="center"/>
          </w:tcPr>
          <w:p w:rsidR="00000000" w:rsidDel="00000000" w:rsidP="00000000" w:rsidRDefault="00000000" w:rsidRPr="00000000" w14:paraId="00000013">
            <w:pPr>
              <w:spacing w:line="264" w:lineRule="auto"/>
              <w:rPr/>
            </w:pPr>
            <w:r w:rsidDel="00000000" w:rsidR="00000000" w:rsidRPr="00000000">
              <w:rPr>
                <w:rFonts w:ascii="Calibri" w:cs="Calibri" w:eastAsia="Calibri" w:hAnsi="Calibri"/>
                <w:color w:val="26343e"/>
                <w:sz w:val="19"/>
                <w:szCs w:val="19"/>
                <w:rtl w:val="0"/>
              </w:rPr>
              <w:t xml:space="preserve">Network change requests today are handled manually across email, generic tickets, and spreadsheets. This results in slow fulfillment, inconsistent validation, incomplete audit trails, and configuration data (CMDB) that drifts from the actual network state — creating operational risk and compliance exposure.</w:t>
            </w:r>
            <w:r w:rsidDel="00000000" w:rsidR="00000000" w:rsidRPr="00000000">
              <w:rPr>
                <w:rtl w:val="0"/>
              </w:rPr>
            </w:r>
          </w:p>
        </w:tc>
      </w:tr>
      <w:tr>
        <w:trPr>
          <w:cantSplit w:val="0"/>
          <w:tblHeader w:val="0"/>
        </w:trPr>
        <w:tc>
          <w:tcPr>
            <w:shd w:fill="ffffff" w:val="clear"/>
            <w:tcMar>
              <w:top w:w="110.0" w:type="dxa"/>
              <w:left w:w="100.0" w:type="dxa"/>
              <w:bottom w:w="110.0" w:type="dxa"/>
              <w:right w:w="10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0b2e4f"/>
                <w:sz w:val="19"/>
                <w:szCs w:val="19"/>
                <w:rtl w:val="0"/>
              </w:rPr>
              <w:t xml:space="preserve">2.</w:t>
            </w:r>
            <w:r w:rsidDel="00000000" w:rsidR="00000000" w:rsidRPr="00000000">
              <w:rPr>
                <w:rtl w:val="0"/>
              </w:rPr>
            </w:r>
          </w:p>
        </w:tc>
        <w:tc>
          <w:tcPr>
            <w:shd w:fill="ffffff" w:val="clear"/>
            <w:tcMar>
              <w:top w:w="110.0" w:type="dxa"/>
              <w:left w:w="120.0" w:type="dxa"/>
              <w:bottom w:w="110.0" w:type="dxa"/>
              <w:right w:w="12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0b2e4f"/>
                <w:sz w:val="19"/>
                <w:szCs w:val="19"/>
                <w:rtl w:val="0"/>
              </w:rPr>
              <w:t xml:space="preserve">Idea / Solution description</w:t>
            </w:r>
            <w:r w:rsidDel="00000000" w:rsidR="00000000" w:rsidRPr="00000000">
              <w:rPr>
                <w:rtl w:val="0"/>
              </w:rPr>
            </w:r>
          </w:p>
        </w:tc>
        <w:tc>
          <w:tcPr>
            <w:shd w:fill="ffffff" w:val="clear"/>
            <w:tcMar>
              <w:top w:w="110.0" w:type="dxa"/>
              <w:left w:w="120.0" w:type="dxa"/>
              <w:bottom w:w="110.0" w:type="dxa"/>
              <w:right w:w="120.0" w:type="dxa"/>
            </w:tcMar>
            <w:vAlign w:val="center"/>
          </w:tcPr>
          <w:p w:rsidR="00000000" w:rsidDel="00000000" w:rsidP="00000000" w:rsidRDefault="00000000" w:rsidRPr="00000000" w14:paraId="00000016">
            <w:pPr>
              <w:spacing w:line="264" w:lineRule="auto"/>
              <w:rPr/>
            </w:pPr>
            <w:r w:rsidDel="00000000" w:rsidR="00000000" w:rsidRPr="00000000">
              <w:rPr>
                <w:rFonts w:ascii="Calibri" w:cs="Calibri" w:eastAsia="Calibri" w:hAnsi="Calibri"/>
                <w:color w:val="26343e"/>
                <w:sz w:val="19"/>
                <w:szCs w:val="19"/>
                <w:rtl w:val="0"/>
              </w:rPr>
              <w:t xml:space="preserve">Implement a fully automated, scalable network change management process natively within ServiceNow. Users submit requests through a guided self-service catalog; the platform automatically validates and routes each request, drives risk-based approvals through Change Management, orchestrates fulfillment through automation and integration tooling, and automatically updates CMDB and generates audit-ready records at closure.</w:t>
            </w:r>
            <w:r w:rsidDel="00000000" w:rsidR="00000000" w:rsidRPr="00000000">
              <w:rPr>
                <w:rtl w:val="0"/>
              </w:rPr>
            </w:r>
          </w:p>
        </w:tc>
      </w:tr>
      <w:tr>
        <w:trPr>
          <w:cantSplit w:val="0"/>
          <w:tblHeader w:val="0"/>
        </w:trPr>
        <w:tc>
          <w:tcPr>
            <w:shd w:fill="f2f4f6" w:val="clear"/>
            <w:tcMar>
              <w:top w:w="110.0" w:type="dxa"/>
              <w:left w:w="100.0" w:type="dxa"/>
              <w:bottom w:w="110.0" w:type="dxa"/>
              <w:right w:w="100.0" w:type="dxa"/>
            </w:tcMar>
            <w:vAlign w:val="cente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0b2e4f"/>
                <w:sz w:val="19"/>
                <w:szCs w:val="19"/>
                <w:rtl w:val="0"/>
              </w:rPr>
              <w:t xml:space="preserve">3.</w:t>
            </w:r>
            <w:r w:rsidDel="00000000" w:rsidR="00000000" w:rsidRPr="00000000">
              <w:rPr>
                <w:rtl w:val="0"/>
              </w:rPr>
            </w:r>
          </w:p>
        </w:tc>
        <w:tc>
          <w:tcPr>
            <w:shd w:fill="f2f4f6" w:val="clear"/>
            <w:tcMar>
              <w:top w:w="110.0" w:type="dxa"/>
              <w:left w:w="120.0" w:type="dxa"/>
              <w:bottom w:w="11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0b2e4f"/>
                <w:sz w:val="19"/>
                <w:szCs w:val="19"/>
                <w:rtl w:val="0"/>
              </w:rPr>
              <w:t xml:space="preserve">Novelty / Uniqueness</w:t>
            </w:r>
            <w:r w:rsidDel="00000000" w:rsidR="00000000" w:rsidRPr="00000000">
              <w:rPr>
                <w:rtl w:val="0"/>
              </w:rPr>
            </w:r>
          </w:p>
        </w:tc>
        <w:tc>
          <w:tcPr>
            <w:shd w:fill="f2f4f6" w:val="clear"/>
            <w:tcMar>
              <w:top w:w="110.0" w:type="dxa"/>
              <w:left w:w="120.0" w:type="dxa"/>
              <w:bottom w:w="110.0" w:type="dxa"/>
              <w:right w:w="120.0" w:type="dxa"/>
            </w:tcMar>
            <w:vAlign w:val="center"/>
          </w:tcPr>
          <w:p w:rsidR="00000000" w:rsidDel="00000000" w:rsidP="00000000" w:rsidRDefault="00000000" w:rsidRPr="00000000" w14:paraId="00000019">
            <w:pPr>
              <w:spacing w:line="264" w:lineRule="auto"/>
              <w:rPr/>
            </w:pPr>
            <w:r w:rsidDel="00000000" w:rsidR="00000000" w:rsidRPr="00000000">
              <w:rPr>
                <w:rFonts w:ascii="Calibri" w:cs="Calibri" w:eastAsia="Calibri" w:hAnsi="Calibri"/>
                <w:color w:val="26343e"/>
                <w:sz w:val="19"/>
                <w:szCs w:val="19"/>
                <w:rtl w:val="0"/>
              </w:rPr>
              <w:t xml:space="preserve">Unlike siloed ticketing or manual spreadsheet tracking, this solution unifies request intake, approval, automated fulfillment, and CMDB reconciliation into a single closed-loop ServiceNow workflow — with orchestration-driven configuration changes and audit-ready records generated automatically rather than compiled after the fact.</w:t>
            </w:r>
            <w:r w:rsidDel="00000000" w:rsidR="00000000" w:rsidRPr="00000000">
              <w:rPr>
                <w:rtl w:val="0"/>
              </w:rPr>
            </w:r>
          </w:p>
        </w:tc>
      </w:tr>
      <w:tr>
        <w:trPr>
          <w:cantSplit w:val="0"/>
          <w:tblHeader w:val="0"/>
        </w:trPr>
        <w:tc>
          <w:tcPr>
            <w:shd w:fill="ffffff" w:val="clear"/>
            <w:tcMar>
              <w:top w:w="110.0" w:type="dxa"/>
              <w:left w:w="100.0" w:type="dxa"/>
              <w:bottom w:w="110.0" w:type="dxa"/>
              <w:right w:w="10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0b2e4f"/>
                <w:sz w:val="19"/>
                <w:szCs w:val="19"/>
                <w:rtl w:val="0"/>
              </w:rPr>
              <w:t xml:space="preserve">4.</w:t>
            </w:r>
            <w:r w:rsidDel="00000000" w:rsidR="00000000" w:rsidRPr="00000000">
              <w:rPr>
                <w:rtl w:val="0"/>
              </w:rPr>
            </w:r>
          </w:p>
        </w:tc>
        <w:tc>
          <w:tcPr>
            <w:shd w:fill="ffffff" w:val="clear"/>
            <w:tcMar>
              <w:top w:w="110.0" w:type="dxa"/>
              <w:left w:w="120.0" w:type="dxa"/>
              <w:bottom w:w="11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0b2e4f"/>
                <w:sz w:val="19"/>
                <w:szCs w:val="19"/>
                <w:rtl w:val="0"/>
              </w:rPr>
              <w:t xml:space="preserve">Social Impact / Customer Satisfaction</w:t>
            </w:r>
            <w:r w:rsidDel="00000000" w:rsidR="00000000" w:rsidRPr="00000000">
              <w:rPr>
                <w:rtl w:val="0"/>
              </w:rPr>
            </w:r>
          </w:p>
        </w:tc>
        <w:tc>
          <w:tcPr>
            <w:shd w:fill="ffffff" w:val="clear"/>
            <w:tcMar>
              <w:top w:w="110.0" w:type="dxa"/>
              <w:left w:w="120.0" w:type="dxa"/>
              <w:bottom w:w="110.0" w:type="dxa"/>
              <w:right w:w="120.0" w:type="dxa"/>
            </w:tcMar>
            <w:vAlign w:val="center"/>
          </w:tcPr>
          <w:p w:rsidR="00000000" w:rsidDel="00000000" w:rsidP="00000000" w:rsidRDefault="00000000" w:rsidRPr="00000000" w14:paraId="0000001C">
            <w:pPr>
              <w:spacing w:line="264" w:lineRule="auto"/>
              <w:rPr/>
            </w:pPr>
            <w:r w:rsidDel="00000000" w:rsidR="00000000" w:rsidRPr="00000000">
              <w:rPr>
                <w:rFonts w:ascii="Calibri" w:cs="Calibri" w:eastAsia="Calibri" w:hAnsi="Calibri"/>
                <w:color w:val="26343e"/>
                <w:sz w:val="19"/>
                <w:szCs w:val="19"/>
                <w:rtl w:val="0"/>
              </w:rPr>
              <w:t xml:space="preserve">Reduces wait times and frustration for employees requesting routine network access, frees network engineers from repetitive manual work so they can focus on higher-value tasks, and improves organizational trust in IT through transparent, real-time status visibility.</w:t>
            </w:r>
            <w:r w:rsidDel="00000000" w:rsidR="00000000" w:rsidRPr="00000000">
              <w:rPr>
                <w:rtl w:val="0"/>
              </w:rPr>
            </w:r>
          </w:p>
        </w:tc>
      </w:tr>
      <w:tr>
        <w:trPr>
          <w:cantSplit w:val="0"/>
          <w:tblHeader w:val="0"/>
        </w:trPr>
        <w:tc>
          <w:tcPr>
            <w:shd w:fill="f2f4f6" w:val="clear"/>
            <w:tcMar>
              <w:top w:w="110.0" w:type="dxa"/>
              <w:left w:w="100.0" w:type="dxa"/>
              <w:bottom w:w="110.0" w:type="dxa"/>
              <w:right w:w="100.0" w:type="dxa"/>
            </w:tcMar>
            <w:vAlign w:val="cente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0b2e4f"/>
                <w:sz w:val="19"/>
                <w:szCs w:val="19"/>
                <w:rtl w:val="0"/>
              </w:rPr>
              <w:t xml:space="preserve">5.</w:t>
            </w:r>
            <w:r w:rsidDel="00000000" w:rsidR="00000000" w:rsidRPr="00000000">
              <w:rPr>
                <w:rtl w:val="0"/>
              </w:rPr>
            </w:r>
          </w:p>
        </w:tc>
        <w:tc>
          <w:tcPr>
            <w:shd w:fill="f2f4f6" w:val="clear"/>
            <w:tcMar>
              <w:top w:w="110.0" w:type="dxa"/>
              <w:left w:w="120.0" w:type="dxa"/>
              <w:bottom w:w="110.0" w:type="dxa"/>
              <w:right w:w="120.0" w:type="dxa"/>
            </w:tcMa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0b2e4f"/>
                <w:sz w:val="19"/>
                <w:szCs w:val="19"/>
                <w:rtl w:val="0"/>
              </w:rPr>
              <w:t xml:space="preserve">Business Model (Revenue Model)</w:t>
            </w:r>
            <w:r w:rsidDel="00000000" w:rsidR="00000000" w:rsidRPr="00000000">
              <w:rPr>
                <w:rtl w:val="0"/>
              </w:rPr>
            </w:r>
          </w:p>
        </w:tc>
        <w:tc>
          <w:tcPr>
            <w:shd w:fill="f2f4f6" w:val="clear"/>
            <w:tcMar>
              <w:top w:w="110.0" w:type="dxa"/>
              <w:left w:w="120.0" w:type="dxa"/>
              <w:bottom w:w="110.0" w:type="dxa"/>
              <w:right w:w="120.0" w:type="dxa"/>
            </w:tcMar>
            <w:vAlign w:val="center"/>
          </w:tcPr>
          <w:p w:rsidR="00000000" w:rsidDel="00000000" w:rsidP="00000000" w:rsidRDefault="00000000" w:rsidRPr="00000000" w14:paraId="0000001F">
            <w:pPr>
              <w:spacing w:line="264" w:lineRule="auto"/>
              <w:rPr/>
            </w:pPr>
            <w:r w:rsidDel="00000000" w:rsidR="00000000" w:rsidRPr="00000000">
              <w:rPr>
                <w:rFonts w:ascii="Calibri" w:cs="Calibri" w:eastAsia="Calibri" w:hAnsi="Calibri"/>
                <w:color w:val="26343e"/>
                <w:sz w:val="19"/>
                <w:szCs w:val="19"/>
                <w:rtl w:val="0"/>
              </w:rPr>
              <w:t xml:space="preserve">Positioned as an internal IT efficiency solution: value is realized through reduced operational cost (fewer manual hours per request), lower compliance and audit risk, and improved SLA adherence. The workflow can also be packaged as a reusable ServiceNow accelerator template, licensed to other business units, or delivered as a managed implementation service for other organizations running ServiceNow.</w:t>
            </w:r>
            <w:r w:rsidDel="00000000" w:rsidR="00000000" w:rsidRPr="00000000">
              <w:rPr>
                <w:rtl w:val="0"/>
              </w:rPr>
            </w:r>
          </w:p>
        </w:tc>
      </w:tr>
      <w:tr>
        <w:trPr>
          <w:cantSplit w:val="0"/>
          <w:tblHeader w:val="0"/>
        </w:trPr>
        <w:tc>
          <w:tcPr>
            <w:shd w:fill="ffffff" w:val="clear"/>
            <w:tcMar>
              <w:top w:w="110.0" w:type="dxa"/>
              <w:left w:w="100.0" w:type="dxa"/>
              <w:bottom w:w="110.0" w:type="dxa"/>
              <w:right w:w="100.0" w:type="dxa"/>
            </w:tcMar>
            <w:vAlign w:val="cente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0b2e4f"/>
                <w:sz w:val="19"/>
                <w:szCs w:val="19"/>
                <w:rtl w:val="0"/>
              </w:rPr>
              <w:t xml:space="preserve">6.</w:t>
            </w:r>
            <w:r w:rsidDel="00000000" w:rsidR="00000000" w:rsidRPr="00000000">
              <w:rPr>
                <w:rtl w:val="0"/>
              </w:rPr>
            </w:r>
          </w:p>
        </w:tc>
        <w:tc>
          <w:tcPr>
            <w:shd w:fill="ffffff" w:val="clear"/>
            <w:tcMar>
              <w:top w:w="110.0" w:type="dxa"/>
              <w:left w:w="120.0" w:type="dxa"/>
              <w:bottom w:w="110.0" w:type="dxa"/>
              <w:right w:w="120.0" w:type="dxa"/>
            </w:tcMar>
            <w:vAlign w:val="cente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0b2e4f"/>
                <w:sz w:val="19"/>
                <w:szCs w:val="19"/>
                <w:rtl w:val="0"/>
              </w:rPr>
              <w:t xml:space="preserve">Scalability of the Solution</w:t>
            </w:r>
            <w:r w:rsidDel="00000000" w:rsidR="00000000" w:rsidRPr="00000000">
              <w:rPr>
                <w:rtl w:val="0"/>
              </w:rPr>
            </w:r>
          </w:p>
        </w:tc>
        <w:tc>
          <w:tcPr>
            <w:shd w:fill="ffffff" w:val="clear"/>
            <w:tcMar>
              <w:top w:w="110.0" w:type="dxa"/>
              <w:left w:w="120.0" w:type="dxa"/>
              <w:bottom w:w="110.0" w:type="dxa"/>
              <w:right w:w="120.0" w:type="dxa"/>
            </w:tcMar>
            <w:vAlign w:val="center"/>
          </w:tcPr>
          <w:p w:rsidR="00000000" w:rsidDel="00000000" w:rsidP="00000000" w:rsidRDefault="00000000" w:rsidRPr="00000000" w14:paraId="00000022">
            <w:pPr>
              <w:spacing w:line="264" w:lineRule="auto"/>
              <w:rPr/>
            </w:pPr>
            <w:r w:rsidDel="00000000" w:rsidR="00000000" w:rsidRPr="00000000">
              <w:rPr>
                <w:rFonts w:ascii="Calibri" w:cs="Calibri" w:eastAsia="Calibri" w:hAnsi="Calibri"/>
                <w:color w:val="26343e"/>
                <w:sz w:val="19"/>
                <w:szCs w:val="19"/>
                <w:rtl w:val="0"/>
              </w:rPr>
              <w:t xml:space="preserve">Built on ServiceNow's cloud-native platform using reusable Flow Designer workflows, IntegrationHub spokes, and CMDB APIs, the solution scales horizontally across network domains (LAN / WAN / Firewall / Wireless), business units, and growing request volumes without a proportional increase in manual headcount.</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rFonts w:ascii="Calibri" w:cs="Calibri" w:eastAsia="Calibri" w:hAnsi="Calibri"/>
        <w:color w:val="5b6b74"/>
        <w:sz w:val="15"/>
        <w:szCs w:val="15"/>
        <w:rtl w:val="0"/>
      </w:rPr>
      <w:t xml:space="preserve">Page </w:t>
    </w:r>
    <w:r w:rsidDel="00000000" w:rsidR="00000000" w:rsidRPr="00000000">
      <w:rPr>
        <w:rFonts w:ascii="Calibri" w:cs="Calibri" w:eastAsia="Calibri" w:hAnsi="Calibri"/>
        <w:color w:val="5b6b74"/>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rFonts w:ascii="Calibri" w:cs="Calibri" w:eastAsia="Calibri" w:hAnsi="Calibri"/>
        <w:color w:val="5b6b74"/>
        <w:sz w:val="15"/>
        <w:szCs w:val="15"/>
        <w:rtl w:val="0"/>
      </w:rPr>
      <w:t xml:space="preserve">Automated Network Request Management — ServiceNow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aCwXjWnWC3no/qFYDivQtmjYg==">CgMxLjA4AHIhMWczWDdxYUpza1NibUd5UThSd3ZtaU5FZ3NNQ3lBU3Uy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