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a3a5c"/>
          <w:sz w:val="32"/>
          <w:szCs w:val="32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jc w:val="center"/>
        <w:rPr/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Solution Requirements (Functional &amp; Non-functional)</w:t>
      </w: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800"/>
        <w:tblGridChange w:id="0">
          <w:tblGrid>
            <w:gridCol w:w="2400"/>
            <w:gridCol w:w="6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Automated Network Request Management in ServiceNow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1"/>
                <w:szCs w:val="2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Following are the functional requirements of the proposed Automated Network Request Management solution in ServiceNow.</w:t>
      </w: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900"/>
        <w:gridCol w:w="5400"/>
        <w:tblGridChange w:id="0">
          <w:tblGrid>
            <w:gridCol w:w="900"/>
            <w:gridCol w:w="29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Request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Self-service catalog item for network requests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Guided request forms for firewall, VLAN, and VPN types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Request submission via virtual agent / chatbot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Approval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Multi-level automated approval routing (manager, security, network)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Approve / reject with comments from e-mail or portal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SLA-based automatic escalation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Change Fulfilment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Auto-assignment of approved requests to the network team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Pre-built change templates for common request types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Automated rollback plan generation for high-risk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Configuration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Automatic CMDB creation / update on change closure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Configuration validation against existing CMDB records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Version history tracking for configuration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Notifications &amp;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Real-time status notifications to the requester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Requester-facing status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SLA breach alerts to approvers and administrators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Audit &amp;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Auto-generated, audit-ready change records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Compliance reporting across date ranges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Exportable change and configuration history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1a3a5c"/>
          <w:sz w:val="24"/>
          <w:szCs w:val="24"/>
          <w:rtl w:val="0"/>
        </w:rPr>
        <w:t xml:space="preserve">Non-functional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Following are the non-functional requirements of the proposed solution.</w:t>
      </w: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400"/>
        <w:gridCol w:w="5900"/>
        <w:tblGridChange w:id="0">
          <w:tblGrid>
            <w:gridCol w:w="900"/>
            <w:gridCol w:w="2400"/>
            <w:gridCol w:w="5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shd w:fill="f3f6fb" w:val="clear"/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Intuitive, guided self-service catalog forms with minimal required fields; mobile-responsive Service Portal and Now Mobile support.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Role-based access control, encryption of data in transit and at rest, and OAuth 2.0 for all external API integrations.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Automatic failover for the approval and fulfilment workflow engine, with no loss of in-flight requests during instance maintenance.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Requests are validated and routed within 2 seconds; the status dashboard loads within 3 seconds under normal 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Deployment on ServiceNow's highly available, multi-instance SaaS architecture, targeting 99.9% uptime.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be0" w:space="0" w:sz="4" w:val="single"/>
              <w:left w:color="b9cbe0" w:space="0" w:sz="4" w:val="single"/>
              <w:bottom w:color="b9cbe0" w:space="0" w:sz="4" w:val="single"/>
              <w:right w:color="b9cbe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Workflow and catalog design supports growing request volumes and additional business units without performance degradation.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mHOmvs4UQxF30L81NZPOho6HFw==">CgMxLjA4AHIhMWZGWWwyTlJjODNpdEs3amZSTGREQW9SV1FEYlJVRGFz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