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1A98" w14:textId="77777777" w:rsidR="000963D2" w:rsidRDefault="00000000">
      <w:pPr>
        <w:jc w:val="center"/>
      </w:pPr>
      <w:r>
        <w:rPr>
          <w:rFonts w:ascii="Arial" w:hAnsi="Arial"/>
          <w:b/>
          <w:color w:val="1E3A8A"/>
          <w:sz w:val="44"/>
        </w:rPr>
        <w:t>Student Dropout Explainable AI &amp; Governance Framework</w:t>
      </w:r>
    </w:p>
    <w:p w14:paraId="65EB2F3B" w14:textId="77777777" w:rsidR="000963D2" w:rsidRDefault="00000000">
      <w:pPr>
        <w:jc w:val="center"/>
      </w:pPr>
      <w:r>
        <w:rPr>
          <w:rFonts w:ascii="Arial" w:hAnsi="Arial"/>
          <w:i/>
          <w:color w:val="0E7490"/>
          <w:sz w:val="26"/>
        </w:rPr>
        <w:t>Complete Evaluation Presentation Guide &amp; Defense Strategy</w:t>
      </w:r>
      <w:r>
        <w:rPr>
          <w:rFonts w:ascii="Arial" w:hAnsi="Arial"/>
          <w:i/>
          <w:color w:val="0E7490"/>
          <w:sz w:val="26"/>
        </w:rPr>
        <w:br/>
        <w:t>Replication &amp; Institutional Extension of IEEE RITA 2025 (Silva et al.)</w:t>
      </w:r>
    </w:p>
    <w:p w14:paraId="0A7FC793" w14:textId="77777777" w:rsidR="000963D2" w:rsidRDefault="000963D2">
      <w:pPr>
        <w:spacing w:after="240"/>
      </w:pPr>
    </w:p>
    <w:p w14:paraId="6317FD69" w14:textId="77777777" w:rsidR="000963D2" w:rsidRDefault="00000000">
      <w:pPr>
        <w:pStyle w:val="Heading1"/>
      </w:pPr>
      <w:r>
        <w:rPr>
          <w:rFonts w:ascii="Arial" w:hAnsi="Arial"/>
          <w:color w:val="1E3A8A"/>
          <w:sz w:val="32"/>
        </w:rPr>
        <w:t>Part 1: The Presentation Strategy &amp; Flow</w:t>
      </w:r>
    </w:p>
    <w:p w14:paraId="2A618907" w14:textId="77777777" w:rsidR="000963D2" w:rsidRDefault="00000000">
      <w:r>
        <w:rPr>
          <w:b/>
        </w:rPr>
        <w:t>Crucial Rule: Do NOT switch back and forth between PowerPoint and the browser repeatedly. It breaks your presentation momentum. Follow this two-step master flow:</w:t>
      </w:r>
      <w:r>
        <w:rPr>
          <w:b/>
        </w:rPr>
        <w:br/>
      </w:r>
      <w:r>
        <w:rPr>
          <w:b/>
        </w:rPr>
        <w:br/>
      </w:r>
    </w:p>
    <w:p w14:paraId="7AD289E3" w14:textId="77777777" w:rsidR="000963D2" w:rsidRDefault="00000000">
      <w:pPr>
        <w:pStyle w:val="ListBullet"/>
      </w:pPr>
      <w:r>
        <w:rPr>
          <w:b/>
        </w:rPr>
        <w:t xml:space="preserve">Step 1 (Slides 1 to 9 - PPT): </w:t>
      </w:r>
      <w:r>
        <w:t>Walk through the scientific and engineering story: Problem Background → Dataset &amp; EDA Insights → The 48-Experiment Matrix → Champion Selection → Explainable AI (SHAP/LIME) → Algorithmic Fairness Audits &amp; Governance Charter.</w:t>
      </w:r>
    </w:p>
    <w:p w14:paraId="7A00BA14" w14:textId="77777777" w:rsidR="000963D2" w:rsidRDefault="00000000">
      <w:pPr>
        <w:pStyle w:val="ListBullet"/>
      </w:pPr>
      <w:r>
        <w:rPr>
          <w:b/>
        </w:rPr>
        <w:t xml:space="preserve">Step 2 (Slide 10 - Live Demo Transition): </w:t>
      </w:r>
      <w:r>
        <w:t>Use Slide 10 to conclude your theory, say: 'Now let's see our live AI Governance Command Center in action,' and open unified_governance_portal.html in your browser. Spend 2 to 3 minutes showing Tab 1 (Leaderboard), Tab 2 (English SHAP), Tab 3 (Interactive Counterfactual Sliders), and Tab 4 (Intersectional Fairness Matrix).</w:t>
      </w:r>
    </w:p>
    <w:p w14:paraId="08EF91C5" w14:textId="77777777" w:rsidR="000963D2" w:rsidRDefault="000963D2"/>
    <w:p w14:paraId="69B7F9D2" w14:textId="77777777" w:rsidR="000963D2" w:rsidRDefault="00000000">
      <w:pPr>
        <w:pStyle w:val="Heading1"/>
      </w:pPr>
      <w:r>
        <w:rPr>
          <w:rFonts w:ascii="Arial" w:hAnsi="Arial"/>
          <w:color w:val="1E3A8A"/>
          <w:sz w:val="32"/>
        </w:rPr>
        <w:t>Part 2: Complete Slide-by-Slide Blueprint (10 Slides)</w:t>
      </w:r>
    </w:p>
    <w:p w14:paraId="51F7E386" w14:textId="77777777" w:rsidR="000963D2" w:rsidRDefault="00000000">
      <w:r>
        <w:rPr>
          <w:rFonts w:ascii="Arial" w:hAnsi="Arial"/>
          <w:b/>
          <w:color w:val="0E7490"/>
          <w:sz w:val="28"/>
        </w:rPr>
        <w:t>Slide 1: Title &amp; Research Motivation</w:t>
      </w:r>
      <w:r>
        <w:rPr>
          <w:rFonts w:ascii="Arial" w:hAnsi="Arial"/>
          <w:b/>
          <w:color w:val="0E7490"/>
          <w:sz w:val="28"/>
        </w:rPr>
        <w:br/>
      </w:r>
    </w:p>
    <w:p w14:paraId="2DE07DA6" w14:textId="77777777" w:rsidR="000963D2" w:rsidRDefault="00000000">
      <w:pPr>
        <w:pStyle w:val="ListBullet"/>
      </w:pPr>
      <w:r>
        <w:rPr>
          <w:rFonts w:ascii="Arial" w:hAnsi="Arial"/>
          <w:sz w:val="21"/>
        </w:rPr>
        <w:t>The Crisis: Student dropout in vocational secondary education wastes institutional resources, limits economic mobility, and exacerbates inequality.</w:t>
      </w:r>
    </w:p>
    <w:p w14:paraId="18410759" w14:textId="77777777" w:rsidR="000963D2" w:rsidRDefault="00000000">
      <w:pPr>
        <w:pStyle w:val="ListBullet"/>
      </w:pPr>
      <w:r>
        <w:rPr>
          <w:rFonts w:ascii="Arial" w:hAnsi="Arial"/>
          <w:sz w:val="21"/>
        </w:rPr>
        <w:t>The Objective: Develop an early-warning Machine Learning framework that predicts dropout risk, provides root-cause explanations with XAI, and guarantees algorithmic fairness.</w:t>
      </w:r>
    </w:p>
    <w:p w14:paraId="11C3A419" w14:textId="77777777" w:rsidR="000963D2" w:rsidRDefault="00000000">
      <w:pPr>
        <w:pStyle w:val="ListBullet"/>
      </w:pPr>
      <w:r>
        <w:rPr>
          <w:rFonts w:ascii="Arial" w:hAnsi="Arial"/>
          <w:sz w:val="21"/>
        </w:rPr>
        <w:t>Research Foundation: Replication and comprehensive extension of Silva et al., 'An Investigation Into Dropout Indicators in Secondary Technical Education Using Explainable AI' (IEEE RITA, 2025).</w:t>
      </w:r>
    </w:p>
    <w:p w14:paraId="197B007E" w14:textId="77777777" w:rsidR="000963D2" w:rsidRDefault="00000000">
      <w:r>
        <w:rPr>
          <w:b/>
          <w:color w:val="1E3A8A"/>
        </w:rPr>
        <w:t xml:space="preserve">Recommended Slide Visual: </w:t>
      </w:r>
      <w:r>
        <w:t>Institutional logos, modern project title banner, IEEE paper reference citation.</w:t>
      </w:r>
    </w:p>
    <w:tbl>
      <w:tblPr>
        <w:tblW w:w="0" w:type="auto"/>
        <w:jc w:val="center"/>
        <w:tblLook w:val="04A0" w:firstRow="1" w:lastRow="0" w:firstColumn="1" w:lastColumn="0" w:noHBand="0" w:noVBand="1"/>
      </w:tblPr>
      <w:tblGrid>
        <w:gridCol w:w="9792"/>
      </w:tblGrid>
      <w:tr w:rsidR="000963D2" w14:paraId="76ADC501" w14:textId="77777777">
        <w:trPr>
          <w:jc w:val="center"/>
        </w:trPr>
        <w:tc>
          <w:tcPr>
            <w:tcW w:w="9792" w:type="dxa"/>
            <w:shd w:val="clear" w:color="auto" w:fill="F0FDF4"/>
          </w:tcPr>
          <w:p w14:paraId="1ECE9819" w14:textId="77777777" w:rsidR="000963D2" w:rsidRDefault="00000000">
            <w:r>
              <w:rPr>
                <w:b/>
                <w:color w:val="15803D"/>
              </w:rPr>
              <w:t>What to Say to the Evaluator (Speaking Script):</w:t>
            </w:r>
            <w:r>
              <w:rPr>
                <w:b/>
                <w:color w:val="15803D"/>
              </w:rPr>
              <w:br/>
            </w:r>
            <w:r>
              <w:rPr>
                <w:i/>
                <w:sz w:val="20"/>
              </w:rPr>
              <w:t>'Good morning sir. Student attrition in technical secondary education is a major issue—when a student drops out, they lose career mobility. Our project replicates and significantly extends a recent 2025 IEEE paper by Silva et al. We built an end-to-end pipeline that not only catches dropouts with high sensitivity, but also uses Explainable AI so counselors know why a student is struggling, backed by strict algorithmic fairness auditing.'</w:t>
            </w:r>
          </w:p>
        </w:tc>
      </w:tr>
    </w:tbl>
    <w:p w14:paraId="036BB3F9" w14:textId="77777777" w:rsidR="000963D2" w:rsidRDefault="000963D2">
      <w:pPr>
        <w:spacing w:after="160"/>
      </w:pPr>
    </w:p>
    <w:p w14:paraId="55E40DA1" w14:textId="77777777" w:rsidR="000963D2" w:rsidRDefault="00000000">
      <w:r>
        <w:rPr>
          <w:rFonts w:ascii="Arial" w:hAnsi="Arial"/>
          <w:b/>
          <w:color w:val="0E7490"/>
          <w:sz w:val="28"/>
        </w:rPr>
        <w:t>Slide 2: Institutional Dataset &amp; Research Baseline</w:t>
      </w:r>
      <w:r>
        <w:rPr>
          <w:rFonts w:ascii="Arial" w:hAnsi="Arial"/>
          <w:b/>
          <w:color w:val="0E7490"/>
          <w:sz w:val="28"/>
        </w:rPr>
        <w:br/>
      </w:r>
    </w:p>
    <w:p w14:paraId="28EBBFD8" w14:textId="77777777" w:rsidR="000963D2" w:rsidRDefault="00000000">
      <w:pPr>
        <w:pStyle w:val="ListBullet"/>
      </w:pPr>
      <w:r>
        <w:rPr>
          <w:rFonts w:ascii="Arial" w:hAnsi="Arial"/>
          <w:sz w:val="21"/>
        </w:rPr>
        <w:t>Source: Official administrative student database from Brazilian Federal Institutes (Institutos Federais) offering secondary technical education.</w:t>
      </w:r>
    </w:p>
    <w:p w14:paraId="772B7996" w14:textId="77777777" w:rsidR="000963D2" w:rsidRDefault="00000000">
      <w:pPr>
        <w:pStyle w:val="ListBullet"/>
      </w:pPr>
      <w:r>
        <w:rPr>
          <w:rFonts w:ascii="Arial" w:hAnsi="Arial"/>
          <w:sz w:val="21"/>
        </w:rPr>
        <w:t>Cohort Size: Filtered from 48,311 raw institutional records down to 15,084 secondary vocational students across 4 course modalities (Integrado, Subsequente, Concomitante, Integrado EJA).</w:t>
      </w:r>
    </w:p>
    <w:p w14:paraId="59E47191" w14:textId="77777777" w:rsidR="000963D2" w:rsidRDefault="00000000">
      <w:pPr>
        <w:pStyle w:val="ListBullet"/>
      </w:pPr>
      <w:r>
        <w:rPr>
          <w:rFonts w:ascii="Arial" w:hAnsi="Arial"/>
          <w:sz w:val="21"/>
        </w:rPr>
        <w:t>Target Variable (Binary Terminal Outcome): Class 0 (Graduates) = 11,703 (77.6%) vs. Class 1 (Dropouts) = 3,381 (22.4%). Heavily imbalanced real-world setting.</w:t>
      </w:r>
    </w:p>
    <w:p w14:paraId="2BE5AE1B" w14:textId="77777777" w:rsidR="000963D2" w:rsidRDefault="00000000">
      <w:pPr>
        <w:pStyle w:val="ListBullet"/>
      </w:pPr>
      <w:r>
        <w:rPr>
          <w:rFonts w:ascii="Arial" w:hAnsi="Arial"/>
          <w:sz w:val="21"/>
        </w:rPr>
        <w:t>Train/Test Partitioning: 80% Training Set (12,067 records) used strictly for tuning/balancing; 20% Held-Out Test Vault (3,017 records) kept untouched for honest evaluation.</w:t>
      </w:r>
    </w:p>
    <w:p w14:paraId="255500E6" w14:textId="77777777" w:rsidR="000963D2" w:rsidRDefault="00000000">
      <w:pPr>
        <w:pStyle w:val="ListBullet"/>
      </w:pPr>
      <w:r>
        <w:rPr>
          <w:rFonts w:ascii="Arial" w:hAnsi="Arial"/>
          <w:sz w:val="21"/>
        </w:rPr>
        <w:t>Our Extension vs Base Paper: The base paper excluded GPA (ira) to focus only on pre-enrollment signals. We incorporated first-year cumulative GPA to create an actionable operational early-warning system and added comprehensive demographic fairness audits.</w:t>
      </w:r>
    </w:p>
    <w:p w14:paraId="49104F25" w14:textId="77777777" w:rsidR="000963D2" w:rsidRDefault="00000000">
      <w:r>
        <w:rPr>
          <w:b/>
          <w:color w:val="1E3A8A"/>
        </w:rPr>
        <w:t xml:space="preserve">Recommended Slide Visual: </w:t>
      </w:r>
      <w:r>
        <w:t>Comparison Table: Base Paper (Silva et al. 2025) vs. Our Extended Governance Framework.</w:t>
      </w:r>
    </w:p>
    <w:tbl>
      <w:tblPr>
        <w:tblW w:w="0" w:type="auto"/>
        <w:jc w:val="center"/>
        <w:tblLook w:val="04A0" w:firstRow="1" w:lastRow="0" w:firstColumn="1" w:lastColumn="0" w:noHBand="0" w:noVBand="1"/>
      </w:tblPr>
      <w:tblGrid>
        <w:gridCol w:w="9792"/>
      </w:tblGrid>
      <w:tr w:rsidR="000963D2" w14:paraId="06D69D75" w14:textId="77777777">
        <w:trPr>
          <w:jc w:val="center"/>
        </w:trPr>
        <w:tc>
          <w:tcPr>
            <w:tcW w:w="9792" w:type="dxa"/>
            <w:shd w:val="clear" w:color="auto" w:fill="F0FDF4"/>
          </w:tcPr>
          <w:p w14:paraId="11B9253F" w14:textId="77777777" w:rsidR="000963D2" w:rsidRDefault="00000000">
            <w:r>
              <w:rPr>
                <w:b/>
                <w:color w:val="15803D"/>
              </w:rPr>
              <w:t>What to Say to the Evaluator (Speaking Script):</w:t>
            </w:r>
            <w:r>
              <w:rPr>
                <w:b/>
                <w:color w:val="15803D"/>
              </w:rPr>
              <w:br/>
            </w:r>
            <w:r>
              <w:rPr>
                <w:i/>
                <w:sz w:val="20"/>
              </w:rPr>
              <w:t>'We analyzed 15,084 real students from Brazilian Federal Institutes. Notice the heavy imbalance: 77.6% graduated, while only 22.4% dropped out. While the base paper excluded GPA to look only at pre-enrollment signals, we incorporated early academic metrics to create a genuine operational early-warning system, and added full multi-dimensional fairness auditing.'</w:t>
            </w:r>
          </w:p>
        </w:tc>
      </w:tr>
    </w:tbl>
    <w:p w14:paraId="7263547D" w14:textId="77777777" w:rsidR="000963D2" w:rsidRDefault="000963D2">
      <w:pPr>
        <w:spacing w:after="160"/>
      </w:pPr>
    </w:p>
    <w:p w14:paraId="67AD2815" w14:textId="77777777" w:rsidR="000963D2" w:rsidRDefault="00000000">
      <w:r>
        <w:rPr>
          <w:rFonts w:ascii="Arial" w:hAnsi="Arial"/>
          <w:b/>
          <w:color w:val="0E7490"/>
          <w:sz w:val="28"/>
        </w:rPr>
        <w:t>Slide 3: Exploratory Data Analysis (EDA) &amp; Data Preprocessing</w:t>
      </w:r>
      <w:r>
        <w:rPr>
          <w:rFonts w:ascii="Arial" w:hAnsi="Arial"/>
          <w:b/>
          <w:color w:val="0E7490"/>
          <w:sz w:val="28"/>
        </w:rPr>
        <w:br/>
      </w:r>
    </w:p>
    <w:p w14:paraId="78E7A463" w14:textId="77777777" w:rsidR="000963D2" w:rsidRDefault="00000000">
      <w:pPr>
        <w:pStyle w:val="ListBullet"/>
      </w:pPr>
      <w:r>
        <w:rPr>
          <w:rFonts w:ascii="Arial" w:hAnsi="Arial"/>
          <w:sz w:val="21"/>
        </w:rPr>
        <w:t>EDA Finding 1 (Attendance Cliff): Brazilian federal technical institutes require &gt;=75% attendance. In our EDA, students with &lt;70% attendance showed a 3.5x higher dropout rate.</w:t>
      </w:r>
    </w:p>
    <w:p w14:paraId="699A6658" w14:textId="77777777" w:rsidR="000963D2" w:rsidRDefault="00000000">
      <w:pPr>
        <w:pStyle w:val="ListBullet"/>
      </w:pPr>
      <w:r>
        <w:rPr>
          <w:rFonts w:ascii="Arial" w:hAnsi="Arial"/>
          <w:sz w:val="21"/>
        </w:rPr>
        <w:t>EDA Finding 2 (Academic Cliff): Graduates average 7.2/10 GPA; dropouts sharply cluster below 5.0/10.</w:t>
      </w:r>
    </w:p>
    <w:p w14:paraId="63552BE3" w14:textId="77777777" w:rsidR="000963D2" w:rsidRDefault="00000000">
      <w:pPr>
        <w:pStyle w:val="ListBullet"/>
      </w:pPr>
      <w:r>
        <w:rPr>
          <w:rFonts w:ascii="Arial" w:hAnsi="Arial"/>
          <w:sz w:val="21"/>
        </w:rPr>
        <w:t>EDA Finding 3 (Digital Divide): Students without a laptop at home had a 28.4% dropout rate vs. 18.1% for laptop owners.</w:t>
      </w:r>
    </w:p>
    <w:p w14:paraId="55818F36" w14:textId="77777777" w:rsidR="000963D2" w:rsidRDefault="00000000">
      <w:pPr>
        <w:pStyle w:val="ListBullet"/>
      </w:pPr>
      <w:r>
        <w:rPr>
          <w:rFonts w:ascii="Arial" w:hAnsi="Arial"/>
          <w:sz w:val="21"/>
        </w:rPr>
        <w:t>EDA Finding 4 (Modality Differences): Teens in standard high school (Integrado) drop out at only 16.3%, whereas working adults in evening school (Subsequente/EJA) drop out at 34.6%–39.5%.</w:t>
      </w:r>
    </w:p>
    <w:p w14:paraId="665FEC19" w14:textId="77777777" w:rsidR="000963D2" w:rsidRDefault="00000000">
      <w:pPr>
        <w:pStyle w:val="ListBullet"/>
      </w:pPr>
      <w:r>
        <w:rPr>
          <w:rFonts w:ascii="Arial" w:hAnsi="Arial"/>
          <w:sz w:val="21"/>
        </w:rPr>
        <w:t>Data Preprocessing Pipeline: Dropped IDs to prevent leakage; dropped columns with &gt;20% missing values; applied 1.5x IQR Winsorization on Age/Income (clipped outliers without deleting any student); One-Hot and Ordinal encoded into 33 numerical features.</w:t>
      </w:r>
    </w:p>
    <w:p w14:paraId="08F160FD" w14:textId="77777777" w:rsidR="000963D2" w:rsidRDefault="00000000">
      <w:r>
        <w:rPr>
          <w:b/>
          <w:color w:val="1E3A8A"/>
        </w:rPr>
        <w:t xml:space="preserve">Recommended Slide Visual: </w:t>
      </w:r>
      <w:r>
        <w:t>EDA Histograms of Attendance Rate &amp; GPA separated by Dropout vs Graduate; diagram of the 5-step preprocessing pipeline.</w:t>
      </w:r>
    </w:p>
    <w:tbl>
      <w:tblPr>
        <w:tblW w:w="0" w:type="auto"/>
        <w:jc w:val="center"/>
        <w:tblLook w:val="04A0" w:firstRow="1" w:lastRow="0" w:firstColumn="1" w:lastColumn="0" w:noHBand="0" w:noVBand="1"/>
      </w:tblPr>
      <w:tblGrid>
        <w:gridCol w:w="9792"/>
      </w:tblGrid>
      <w:tr w:rsidR="000963D2" w14:paraId="595F0E91" w14:textId="77777777">
        <w:trPr>
          <w:jc w:val="center"/>
        </w:trPr>
        <w:tc>
          <w:tcPr>
            <w:tcW w:w="9792" w:type="dxa"/>
            <w:shd w:val="clear" w:color="auto" w:fill="F0FDF4"/>
          </w:tcPr>
          <w:p w14:paraId="2F227E96" w14:textId="77777777" w:rsidR="000963D2" w:rsidRDefault="00000000">
            <w:r>
              <w:rPr>
                <w:b/>
                <w:color w:val="15803D"/>
              </w:rPr>
              <w:t>What to Say to the Evaluator (Speaking Script):</w:t>
            </w:r>
            <w:r>
              <w:rPr>
                <w:b/>
                <w:color w:val="15803D"/>
              </w:rPr>
              <w:br/>
            </w:r>
            <w:r>
              <w:rPr>
                <w:i/>
                <w:sz w:val="20"/>
              </w:rPr>
              <w:t xml:space="preserve">'Here is what our EDA revealed: Attendance and GPA are cliffhanger variables. Dropping below 70% attendance or 5.0 GPA massively accelerates dropout risk. Furthermore, socioeconomic factors like laptop ownership show a clear </w:t>
            </w:r>
            <w:r>
              <w:rPr>
                <w:i/>
                <w:sz w:val="20"/>
              </w:rPr>
              <w:lastRenderedPageBreak/>
              <w:t>divide. In preprocessing, we eliminated identifier leakage, clipped outliers using 1.5x IQR Winsorization so no student data was lost, and produced a clean 33-feature matrix.'</w:t>
            </w:r>
          </w:p>
        </w:tc>
      </w:tr>
    </w:tbl>
    <w:p w14:paraId="2EBEB4DB" w14:textId="77777777" w:rsidR="000963D2" w:rsidRDefault="000963D2">
      <w:pPr>
        <w:spacing w:after="160"/>
      </w:pPr>
    </w:p>
    <w:p w14:paraId="652D09C7" w14:textId="77777777" w:rsidR="000963D2" w:rsidRDefault="00000000">
      <w:r>
        <w:rPr>
          <w:rFonts w:ascii="Arial" w:hAnsi="Arial"/>
          <w:b/>
          <w:color w:val="0E7490"/>
          <w:sz w:val="28"/>
        </w:rPr>
        <w:t>Slide 4: Phase 2: The 48-Experiment Benchmark Matrix</w:t>
      </w:r>
      <w:r>
        <w:rPr>
          <w:rFonts w:ascii="Arial" w:hAnsi="Arial"/>
          <w:b/>
          <w:color w:val="0E7490"/>
          <w:sz w:val="28"/>
        </w:rPr>
        <w:br/>
      </w:r>
    </w:p>
    <w:p w14:paraId="0BDCF76E" w14:textId="77777777" w:rsidR="000963D2" w:rsidRDefault="00000000">
      <w:pPr>
        <w:pStyle w:val="ListBullet"/>
      </w:pPr>
      <w:r>
        <w:rPr>
          <w:rFonts w:ascii="Arial" w:hAnsi="Arial"/>
          <w:sz w:val="21"/>
        </w:rPr>
        <w:t>The Balancing Challenge: A naive model predicting 'everyone graduates' gets 77.6% accuracy but catches 0 dropouts.</w:t>
      </w:r>
    </w:p>
    <w:p w14:paraId="370CEC29" w14:textId="77777777" w:rsidR="000963D2" w:rsidRDefault="00000000">
      <w:pPr>
        <w:pStyle w:val="ListBullet"/>
      </w:pPr>
      <w:r>
        <w:rPr>
          <w:rFonts w:ascii="Arial" w:hAnsi="Arial"/>
          <w:sz w:val="21"/>
        </w:rPr>
        <w:t>4 Balancing Techniques (applied only to train set): Unbalanced baseline (12k), Random UnderSampling (5.4k), SMOTE (18.7k), and SMOTEENN (15.2k with ENN boundary noise filtering).</w:t>
      </w:r>
    </w:p>
    <w:p w14:paraId="05CCB964" w14:textId="77777777" w:rsidR="000963D2" w:rsidRDefault="00000000">
      <w:pPr>
        <w:pStyle w:val="ListBullet"/>
      </w:pPr>
      <w:r>
        <w:rPr>
          <w:rFonts w:ascii="Arial" w:hAnsi="Arial"/>
          <w:sz w:val="21"/>
        </w:rPr>
        <w:t>3 Feature Selection Methods: ANOVA F-Test (SelectKBest, 15 features), Backward Wrapper Elimination (17 features), and Random Forest Gini Feature Importance (15 features).</w:t>
      </w:r>
    </w:p>
    <w:p w14:paraId="19F0D24D" w14:textId="77777777" w:rsidR="000963D2" w:rsidRDefault="00000000">
      <w:pPr>
        <w:pStyle w:val="ListBullet"/>
      </w:pPr>
      <w:r>
        <w:rPr>
          <w:rFonts w:ascii="Arial" w:hAnsi="Arial"/>
          <w:sz w:val="21"/>
        </w:rPr>
        <w:t>4 Model Families: Random Forest, Decision Tree, Logistic Regression, Support Vector Machine (Linear SVM).</w:t>
      </w:r>
    </w:p>
    <w:p w14:paraId="46C08474" w14:textId="77777777" w:rsidR="000963D2" w:rsidRDefault="00000000">
      <w:pPr>
        <w:pStyle w:val="ListBullet"/>
      </w:pPr>
      <w:r>
        <w:rPr>
          <w:rFonts w:ascii="Arial" w:hAnsi="Arial"/>
          <w:sz w:val="21"/>
        </w:rPr>
        <w:t>Hyperparameter Tuning &amp; Validation: 5-Fold GridSearchCV tuning on training folds; 10-Fold Cross-Validation for stability; final validation on 3,017 unseen test students.</w:t>
      </w:r>
    </w:p>
    <w:p w14:paraId="62A61D9F" w14:textId="77777777" w:rsidR="000963D2" w:rsidRDefault="00000000">
      <w:pPr>
        <w:pStyle w:val="ListBullet"/>
      </w:pPr>
      <w:r>
        <w:rPr>
          <w:rFonts w:ascii="Arial" w:hAnsi="Arial"/>
          <w:sz w:val="21"/>
        </w:rPr>
        <w:t>Optimization Hierarchy: Highest Recall (Catch Rate) -&gt; Highest Precision -&gt; 10-Fold CV Stability.</w:t>
      </w:r>
    </w:p>
    <w:p w14:paraId="19CB418B" w14:textId="77777777" w:rsidR="000963D2" w:rsidRDefault="00000000">
      <w:r>
        <w:rPr>
          <w:b/>
          <w:color w:val="1E3A8A"/>
        </w:rPr>
        <w:t xml:space="preserve">Recommended Slide Visual: </w:t>
      </w:r>
      <w:r>
        <w:t>Benchmark Matrix diagram: 4 Balancing x 3 Feature Selection x 4 Algorithms = 48 Experiments.</w:t>
      </w:r>
    </w:p>
    <w:tbl>
      <w:tblPr>
        <w:tblW w:w="0" w:type="auto"/>
        <w:jc w:val="center"/>
        <w:tblLook w:val="04A0" w:firstRow="1" w:lastRow="0" w:firstColumn="1" w:lastColumn="0" w:noHBand="0" w:noVBand="1"/>
      </w:tblPr>
      <w:tblGrid>
        <w:gridCol w:w="9792"/>
      </w:tblGrid>
      <w:tr w:rsidR="000963D2" w14:paraId="40C081D3" w14:textId="77777777">
        <w:trPr>
          <w:jc w:val="center"/>
        </w:trPr>
        <w:tc>
          <w:tcPr>
            <w:tcW w:w="9792" w:type="dxa"/>
            <w:shd w:val="clear" w:color="auto" w:fill="F0FDF4"/>
          </w:tcPr>
          <w:p w14:paraId="259E30BD" w14:textId="77777777" w:rsidR="000963D2" w:rsidRDefault="00000000">
            <w:r>
              <w:rPr>
                <w:b/>
                <w:color w:val="15803D"/>
              </w:rPr>
              <w:t>What to Say to the Evaluator (Speaking Script):</w:t>
            </w:r>
            <w:r>
              <w:rPr>
                <w:b/>
                <w:color w:val="15803D"/>
              </w:rPr>
              <w:br/>
            </w:r>
            <w:r>
              <w:rPr>
                <w:i/>
                <w:sz w:val="20"/>
              </w:rPr>
              <w:t>'To ensure we didn't just pick an arbitrary model, we designed a 48-experiment benchmark matrix. We tested 4 balancing techniques against 3 feature selection methods across 4 model families. In education, Recall is our priority because failing to catch a dropping out student has a severe cost, while a false alarm is harmless.'</w:t>
            </w:r>
          </w:p>
        </w:tc>
      </w:tr>
    </w:tbl>
    <w:p w14:paraId="34415A36" w14:textId="77777777" w:rsidR="000963D2" w:rsidRDefault="000963D2">
      <w:pPr>
        <w:spacing w:after="160"/>
      </w:pPr>
    </w:p>
    <w:p w14:paraId="4A2EAC4C" w14:textId="77777777" w:rsidR="000963D2" w:rsidRDefault="00000000">
      <w:r>
        <w:rPr>
          <w:rFonts w:ascii="Arial" w:hAnsi="Arial"/>
          <w:b/>
          <w:color w:val="0E7490"/>
          <w:sz w:val="28"/>
        </w:rPr>
        <w:t>Slide 5: Phase 2: Benchmark Results &amp; Champion Selection</w:t>
      </w:r>
      <w:r>
        <w:rPr>
          <w:rFonts w:ascii="Arial" w:hAnsi="Arial"/>
          <w:b/>
          <w:color w:val="0E7490"/>
          <w:sz w:val="28"/>
        </w:rPr>
        <w:br/>
      </w:r>
    </w:p>
    <w:p w14:paraId="7B94C1E9" w14:textId="77777777" w:rsidR="000963D2" w:rsidRDefault="00000000">
      <w:pPr>
        <w:pStyle w:val="ListBullet"/>
      </w:pPr>
      <w:r>
        <w:rPr>
          <w:rFonts w:ascii="Arial" w:hAnsi="Arial"/>
          <w:sz w:val="21"/>
        </w:rPr>
        <w:t>Random Forest (Champion - UnderSampling + FeatureImportance): Recall = 84.8%, Precision = 83.6%, Accuracy = 92.9%, ROC-AUC = 0.951. Caught 573 of 676 actual dropouts with only 112 false alarms.</w:t>
      </w:r>
    </w:p>
    <w:p w14:paraId="14E013D7" w14:textId="77777777" w:rsidR="000963D2" w:rsidRDefault="00000000">
      <w:pPr>
        <w:pStyle w:val="ListBullet"/>
      </w:pPr>
      <w:r>
        <w:rPr>
          <w:rFonts w:ascii="Arial" w:hAnsi="Arial"/>
          <w:sz w:val="21"/>
        </w:rPr>
        <w:t>Decision Tree (Interpretable Champion - UnderSampling + ANOVA): Recall = 84.6%, Precision = 64.0%, Accuracy = 85.9%, ROC-AUC = 0.854. Provides transparent if-else rule flowcharts.</w:t>
      </w:r>
    </w:p>
    <w:p w14:paraId="7365CCE2" w14:textId="77777777" w:rsidR="000963D2" w:rsidRDefault="00000000">
      <w:pPr>
        <w:pStyle w:val="ListBullet"/>
      </w:pPr>
      <w:r>
        <w:rPr>
          <w:rFonts w:ascii="Arial" w:hAnsi="Arial"/>
          <w:sz w:val="21"/>
        </w:rPr>
        <w:t>Logistic Regression (SMOTE + ANOVA): Recall = 82.8%, Precision = 61.2%, Accuracy = 84.1%, ROC-AUC = 0.887.</w:t>
      </w:r>
    </w:p>
    <w:p w14:paraId="2371F9A2" w14:textId="77777777" w:rsidR="000963D2" w:rsidRDefault="00000000">
      <w:pPr>
        <w:pStyle w:val="ListBullet"/>
      </w:pPr>
      <w:r>
        <w:rPr>
          <w:rFonts w:ascii="Arial" w:hAnsi="Arial"/>
          <w:sz w:val="21"/>
        </w:rPr>
        <w:t>Support Vector Machine (SMOTEENN + ANOVA): Raw Recall = 91.4%, but Precision = 23.1% and Accuracy = 30.1% (over-flagged non-dropouts, unviable in production).</w:t>
      </w:r>
    </w:p>
    <w:p w14:paraId="66827552" w14:textId="77777777" w:rsidR="000963D2" w:rsidRDefault="00000000">
      <w:pPr>
        <w:pStyle w:val="ListBullet"/>
      </w:pPr>
      <w:r>
        <w:rPr>
          <w:rFonts w:ascii="Arial" w:hAnsi="Arial"/>
          <w:sz w:val="21"/>
        </w:rPr>
        <w:t>Conclusion: Random Forest delivered optimal clinical balance between sensitivity (84.8%) and operational precision (83.6%).</w:t>
      </w:r>
    </w:p>
    <w:p w14:paraId="35DBB0D8" w14:textId="77777777" w:rsidR="000963D2" w:rsidRDefault="00000000">
      <w:r>
        <w:rPr>
          <w:b/>
          <w:color w:val="1E3A8A"/>
        </w:rPr>
        <w:t xml:space="preserve">Recommended Slide Visual: </w:t>
      </w:r>
      <w:r>
        <w:t>Phase 2 Benchmark Leaderboard Table comparing Recall, Precision, Accuracy, and AUC.</w:t>
      </w:r>
    </w:p>
    <w:tbl>
      <w:tblPr>
        <w:tblW w:w="0" w:type="auto"/>
        <w:jc w:val="center"/>
        <w:tblLook w:val="04A0" w:firstRow="1" w:lastRow="0" w:firstColumn="1" w:lastColumn="0" w:noHBand="0" w:noVBand="1"/>
      </w:tblPr>
      <w:tblGrid>
        <w:gridCol w:w="9792"/>
      </w:tblGrid>
      <w:tr w:rsidR="000963D2" w14:paraId="77C81876" w14:textId="77777777">
        <w:trPr>
          <w:jc w:val="center"/>
        </w:trPr>
        <w:tc>
          <w:tcPr>
            <w:tcW w:w="9792" w:type="dxa"/>
            <w:shd w:val="clear" w:color="auto" w:fill="F0FDF4"/>
          </w:tcPr>
          <w:p w14:paraId="481C1114" w14:textId="77777777" w:rsidR="000963D2" w:rsidRDefault="00000000">
            <w:r>
              <w:rPr>
                <w:b/>
                <w:color w:val="15803D"/>
              </w:rPr>
              <w:lastRenderedPageBreak/>
              <w:t>What to Say to the Evaluator (Speaking Script):</w:t>
            </w:r>
            <w:r>
              <w:rPr>
                <w:b/>
                <w:color w:val="15803D"/>
              </w:rPr>
              <w:br/>
            </w:r>
            <w:r>
              <w:rPr>
                <w:i/>
                <w:sz w:val="20"/>
              </w:rPr>
              <w:t>'Here are the empirical results on our 3,017 held-out students. While SVM had the highest raw recall, its precision collapsed to 23%. Our Random Forest with UnderSampling achieved the optimal balance: an 84.8% recall and 83.6% precision with a 0.951 ROC-AUC, making it our institutional champion.'</w:t>
            </w:r>
          </w:p>
        </w:tc>
      </w:tr>
    </w:tbl>
    <w:p w14:paraId="525F4BCB" w14:textId="77777777" w:rsidR="000963D2" w:rsidRDefault="000963D2">
      <w:pPr>
        <w:spacing w:after="160"/>
      </w:pPr>
    </w:p>
    <w:p w14:paraId="2CEB9E5D" w14:textId="77777777" w:rsidR="000963D2" w:rsidRDefault="00000000">
      <w:r>
        <w:rPr>
          <w:rFonts w:ascii="Arial" w:hAnsi="Arial"/>
          <w:b/>
          <w:color w:val="0E7490"/>
          <w:sz w:val="28"/>
        </w:rPr>
        <w:t>Slide 6: Phase 3: Macro Global Explainability (SHAP TreeExplainer)</w:t>
      </w:r>
      <w:r>
        <w:rPr>
          <w:rFonts w:ascii="Arial" w:hAnsi="Arial"/>
          <w:b/>
          <w:color w:val="0E7490"/>
          <w:sz w:val="28"/>
        </w:rPr>
        <w:br/>
      </w:r>
    </w:p>
    <w:p w14:paraId="662713AD" w14:textId="77777777" w:rsidR="000963D2" w:rsidRDefault="00000000">
      <w:pPr>
        <w:pStyle w:val="ListBullet"/>
      </w:pPr>
      <w:r>
        <w:rPr>
          <w:rFonts w:ascii="Arial" w:hAnsi="Arial"/>
          <w:sz w:val="21"/>
        </w:rPr>
        <w:t>The Need for XAI: Ensembles like Random Forest are black boxes. Educational institutions cannot take punitive or remedial action without causal transparency.</w:t>
      </w:r>
    </w:p>
    <w:p w14:paraId="042AAF0A" w14:textId="77777777" w:rsidR="000963D2" w:rsidRDefault="00000000">
      <w:pPr>
        <w:pStyle w:val="ListBullet"/>
      </w:pPr>
      <w:r>
        <w:rPr>
          <w:rFonts w:ascii="Arial" w:hAnsi="Arial"/>
          <w:sz w:val="21"/>
        </w:rPr>
        <w:t>Methodology: Exact TreeExplainer SHAP (Shapley Additive exPlanations) computed across all 3,017 test students with translated English feature descriptors.</w:t>
      </w:r>
    </w:p>
    <w:p w14:paraId="7489C847" w14:textId="77777777" w:rsidR="000963D2" w:rsidRDefault="00000000">
      <w:pPr>
        <w:pStyle w:val="ListBullet"/>
      </w:pPr>
      <w:r>
        <w:rPr>
          <w:rFonts w:ascii="Arial" w:hAnsi="Arial"/>
          <w:sz w:val="21"/>
        </w:rPr>
        <w:t>Top Decisive Features Ranked by Mean |SHAP| Attribution:</w:t>
      </w:r>
    </w:p>
    <w:p w14:paraId="64D54E17" w14:textId="77777777" w:rsidR="000963D2" w:rsidRDefault="00000000">
      <w:pPr>
        <w:pStyle w:val="ListBullet"/>
      </w:pPr>
      <w:r>
        <w:rPr>
          <w:rFonts w:ascii="Arial" w:hAnsi="Arial"/>
          <w:sz w:val="21"/>
        </w:rPr>
        <w:t xml:space="preserve">  1. Cumulative GPA (ira) - Mean |SHAP| = 0.2717 (Steep risk escalation below 5.0).</w:t>
      </w:r>
    </w:p>
    <w:p w14:paraId="6621C3C3" w14:textId="77777777" w:rsidR="000963D2" w:rsidRDefault="00000000">
      <w:pPr>
        <w:pStyle w:val="ListBullet"/>
      </w:pPr>
      <w:r>
        <w:rPr>
          <w:rFonts w:ascii="Arial" w:hAnsi="Arial"/>
          <w:sz w:val="21"/>
        </w:rPr>
        <w:t xml:space="preserve">  2. Attendance Rate (percentual_frequencia) - Mean |SHAP| = 0.0570 (Primary behavioral signal).</w:t>
      </w:r>
    </w:p>
    <w:p w14:paraId="385FEFE6" w14:textId="77777777" w:rsidR="000963D2" w:rsidRDefault="00000000">
      <w:pPr>
        <w:pStyle w:val="ListBullet"/>
      </w:pPr>
      <w:r>
        <w:rPr>
          <w:rFonts w:ascii="Arial" w:hAnsi="Arial"/>
          <w:sz w:val="21"/>
        </w:rPr>
        <w:t xml:space="preserve">  3. Failed Courses (reprovacoes) - Mean |SHAP| = 0.0468.</w:t>
      </w:r>
    </w:p>
    <w:p w14:paraId="53831F26" w14:textId="77777777" w:rsidR="000963D2" w:rsidRDefault="00000000">
      <w:pPr>
        <w:pStyle w:val="ListBullet"/>
      </w:pPr>
      <w:r>
        <w:rPr>
          <w:rFonts w:ascii="Arial" w:hAnsi="Arial"/>
          <w:sz w:val="21"/>
        </w:rPr>
        <w:t xml:space="preserve">  4. Admission Year (anoingresso) - Mean |SHAP| = 0.0384 (Cohort and institutional calendar shifts).</w:t>
      </w:r>
    </w:p>
    <w:p w14:paraId="684ED16A" w14:textId="77777777" w:rsidR="000963D2" w:rsidRDefault="00000000">
      <w:pPr>
        <w:pStyle w:val="ListBullet"/>
      </w:pPr>
      <w:r>
        <w:rPr>
          <w:rFonts w:ascii="Arial" w:hAnsi="Arial"/>
          <w:sz w:val="21"/>
        </w:rPr>
        <w:t xml:space="preserve">  5. Gross Family Income (rendabruta) - Mean |SHAP| = 0.0210 (Financial buffer).</w:t>
      </w:r>
    </w:p>
    <w:p w14:paraId="32C4BCD4" w14:textId="77777777" w:rsidR="000963D2" w:rsidRDefault="00000000">
      <w:pPr>
        <w:pStyle w:val="ListBullet"/>
      </w:pPr>
      <w:r>
        <w:rPr>
          <w:rFonts w:ascii="Arial" w:hAnsi="Arial"/>
          <w:sz w:val="21"/>
        </w:rPr>
        <w:t xml:space="preserve">  6. Course Modality (modalidade) - Mean |SHAP| = 0.0163 (Adult vs. teen structural differences).</w:t>
      </w:r>
    </w:p>
    <w:p w14:paraId="408CEB61" w14:textId="77777777" w:rsidR="000963D2" w:rsidRDefault="00000000">
      <w:r>
        <w:rPr>
          <w:b/>
          <w:color w:val="1E3A8A"/>
        </w:rPr>
        <w:t xml:space="preserve">Recommended Slide Visual: </w:t>
      </w:r>
      <w:r>
        <w:t>Global SHAP Beeswarm Plot (01_shap_global_beeswarm.png) with English feature names.</w:t>
      </w:r>
    </w:p>
    <w:tbl>
      <w:tblPr>
        <w:tblW w:w="0" w:type="auto"/>
        <w:jc w:val="center"/>
        <w:tblLook w:val="04A0" w:firstRow="1" w:lastRow="0" w:firstColumn="1" w:lastColumn="0" w:noHBand="0" w:noVBand="1"/>
      </w:tblPr>
      <w:tblGrid>
        <w:gridCol w:w="9792"/>
      </w:tblGrid>
      <w:tr w:rsidR="000963D2" w14:paraId="122E8710" w14:textId="77777777">
        <w:trPr>
          <w:jc w:val="center"/>
        </w:trPr>
        <w:tc>
          <w:tcPr>
            <w:tcW w:w="9792" w:type="dxa"/>
            <w:shd w:val="clear" w:color="auto" w:fill="F0FDF4"/>
          </w:tcPr>
          <w:p w14:paraId="792EC452" w14:textId="77777777" w:rsidR="000963D2" w:rsidRDefault="00000000">
            <w:r>
              <w:rPr>
                <w:b/>
                <w:color w:val="15803D"/>
              </w:rPr>
              <w:t>What to Say to the Evaluator (Speaking Script):</w:t>
            </w:r>
            <w:r>
              <w:rPr>
                <w:b/>
                <w:color w:val="15803D"/>
              </w:rPr>
              <w:br/>
            </w:r>
            <w:r>
              <w:rPr>
                <w:i/>
                <w:sz w:val="20"/>
              </w:rPr>
              <w:t>'To explain the Random Forest, we used SHAP TreeExplainer. As you can see in the beeswarm plot, Cumulative GPA is the #1 driver, followed immediately by Attendance Rate and Course Failures. Blue dots representing low GPA and low attendance push students strongly to the right into the high-risk dropout zone.'</w:t>
            </w:r>
          </w:p>
        </w:tc>
      </w:tr>
    </w:tbl>
    <w:p w14:paraId="1E001B4D" w14:textId="77777777" w:rsidR="000963D2" w:rsidRDefault="000963D2">
      <w:pPr>
        <w:spacing w:after="160"/>
      </w:pPr>
    </w:p>
    <w:p w14:paraId="05240C14" w14:textId="77777777" w:rsidR="000963D2" w:rsidRDefault="00000000">
      <w:r>
        <w:rPr>
          <w:rFonts w:ascii="Arial" w:hAnsi="Arial"/>
          <w:b/>
          <w:color w:val="0E7490"/>
          <w:sz w:val="28"/>
        </w:rPr>
        <w:t>Slide 7: Phase 3: Micro Local Explainability &amp; What-If Counterfactuals</w:t>
      </w:r>
      <w:r>
        <w:rPr>
          <w:rFonts w:ascii="Arial" w:hAnsi="Arial"/>
          <w:b/>
          <w:color w:val="0E7490"/>
          <w:sz w:val="28"/>
        </w:rPr>
        <w:br/>
      </w:r>
    </w:p>
    <w:p w14:paraId="52F00A18" w14:textId="77777777" w:rsidR="000963D2" w:rsidRDefault="00000000">
      <w:pPr>
        <w:pStyle w:val="ListBullet"/>
      </w:pPr>
      <w:r>
        <w:rPr>
          <w:rFonts w:ascii="Arial" w:hAnsi="Arial"/>
          <w:sz w:val="21"/>
        </w:rPr>
        <w:t>Local LIME Explanations: Deconstructs individual student profiles into Risk Escalators (Red bars) and Protective Buffers (Green bars).</w:t>
      </w:r>
    </w:p>
    <w:p w14:paraId="5DC028B6" w14:textId="77777777" w:rsidR="000963D2" w:rsidRDefault="00000000">
      <w:pPr>
        <w:pStyle w:val="ListBullet"/>
      </w:pPr>
      <w:r>
        <w:rPr>
          <w:rFonts w:ascii="Arial" w:hAnsi="Arial"/>
          <w:sz w:val="21"/>
        </w:rPr>
        <w:t>Archetype Case 1 (Student #0 - High Risk, 94.0%): Risk driven by GPA = 2.4 (+0.38 risk) and Attendance = 55% (+0.18 risk).</w:t>
      </w:r>
    </w:p>
    <w:p w14:paraId="2FE6C0D5" w14:textId="77777777" w:rsidR="000963D2" w:rsidRDefault="00000000">
      <w:pPr>
        <w:pStyle w:val="ListBullet"/>
      </w:pPr>
      <w:r>
        <w:rPr>
          <w:rFonts w:ascii="Arial" w:hAnsi="Arial"/>
          <w:sz w:val="21"/>
        </w:rPr>
        <w:t>Archetype Case 2 (Student #43 - Borderline Case, 65.0%): Sensitive to marginal improvements; prime target for counselor outreach.</w:t>
      </w:r>
    </w:p>
    <w:p w14:paraId="428088BD" w14:textId="77777777" w:rsidR="000963D2" w:rsidRDefault="00000000">
      <w:pPr>
        <w:pStyle w:val="ListBullet"/>
      </w:pPr>
      <w:r>
        <w:rPr>
          <w:rFonts w:ascii="Arial" w:hAnsi="Arial"/>
          <w:sz w:val="21"/>
        </w:rPr>
        <w:t>Actionable Counterfactual Simulation: Sliders dynamically model intervention outcomes. If a borderline student increases attendance from 70% to 85%, their predicted risk drops from 65% to 28% (Safe Zone).</w:t>
      </w:r>
    </w:p>
    <w:p w14:paraId="580AA0F0" w14:textId="77777777" w:rsidR="000963D2" w:rsidRDefault="00000000">
      <w:pPr>
        <w:pStyle w:val="ListBullet"/>
      </w:pPr>
      <w:r>
        <w:rPr>
          <w:rFonts w:ascii="Arial" w:hAnsi="Arial"/>
          <w:sz w:val="21"/>
        </w:rPr>
        <w:t>Impact: Gives counselors exact numerical target thresholds for remedial academic agreements.</w:t>
      </w:r>
    </w:p>
    <w:p w14:paraId="2ACCEEB5" w14:textId="77777777" w:rsidR="000963D2" w:rsidRDefault="00000000">
      <w:r>
        <w:rPr>
          <w:b/>
          <w:color w:val="1E3A8A"/>
        </w:rPr>
        <w:t xml:space="preserve">Recommended Slide Visual: </w:t>
      </w:r>
      <w:r>
        <w:t>LIME Factor Attribution bar chart for Student #43; Counterfactual Sensitivity Curve chart.</w:t>
      </w:r>
    </w:p>
    <w:tbl>
      <w:tblPr>
        <w:tblW w:w="0" w:type="auto"/>
        <w:jc w:val="center"/>
        <w:tblLook w:val="04A0" w:firstRow="1" w:lastRow="0" w:firstColumn="1" w:lastColumn="0" w:noHBand="0" w:noVBand="1"/>
      </w:tblPr>
      <w:tblGrid>
        <w:gridCol w:w="9792"/>
      </w:tblGrid>
      <w:tr w:rsidR="000963D2" w14:paraId="5B6223C2" w14:textId="77777777">
        <w:trPr>
          <w:jc w:val="center"/>
        </w:trPr>
        <w:tc>
          <w:tcPr>
            <w:tcW w:w="9792" w:type="dxa"/>
            <w:shd w:val="clear" w:color="auto" w:fill="F0FDF4"/>
          </w:tcPr>
          <w:p w14:paraId="12EE4F3A" w14:textId="77777777" w:rsidR="000963D2" w:rsidRDefault="00000000">
            <w:r>
              <w:rPr>
                <w:b/>
                <w:color w:val="15803D"/>
              </w:rPr>
              <w:lastRenderedPageBreak/>
              <w:t>What to Say to the Evaluator (Speaking Script):</w:t>
            </w:r>
            <w:r>
              <w:rPr>
                <w:b/>
                <w:color w:val="15803D"/>
              </w:rPr>
              <w:br/>
            </w:r>
            <w:r>
              <w:rPr>
                <w:i/>
                <w:sz w:val="20"/>
              </w:rPr>
              <w:t>'Macro SHAP gives the overall picture, but counselors work with individual students. Using LIME, we generate local risk breakdowns showing the exact factors driving that student's score. Furthermore, our counterfactual sensitivity analysis calculates what specific changes—like raising attendance by 15%—are needed to flip the student back to safety.'</w:t>
            </w:r>
          </w:p>
        </w:tc>
      </w:tr>
    </w:tbl>
    <w:p w14:paraId="5F02B273" w14:textId="77777777" w:rsidR="000963D2" w:rsidRDefault="000963D2">
      <w:pPr>
        <w:spacing w:after="160"/>
      </w:pPr>
    </w:p>
    <w:p w14:paraId="0584D1FA" w14:textId="77777777" w:rsidR="000963D2" w:rsidRDefault="00000000">
      <w:r>
        <w:rPr>
          <w:rFonts w:ascii="Arial" w:hAnsi="Arial"/>
          <w:b/>
          <w:color w:val="0E7490"/>
          <w:sz w:val="28"/>
        </w:rPr>
        <w:t>Slide 8: Phase 4: Algorithmic Fairness Audits (100% Real Empirical Data)</w:t>
      </w:r>
      <w:r>
        <w:rPr>
          <w:rFonts w:ascii="Arial" w:hAnsi="Arial"/>
          <w:b/>
          <w:color w:val="0E7490"/>
          <w:sz w:val="28"/>
        </w:rPr>
        <w:br/>
      </w:r>
    </w:p>
    <w:p w14:paraId="53782262" w14:textId="77777777" w:rsidR="000963D2" w:rsidRDefault="00000000">
      <w:pPr>
        <w:pStyle w:val="ListBullet"/>
      </w:pPr>
      <w:r>
        <w:rPr>
          <w:rFonts w:ascii="Arial" w:hAnsi="Arial"/>
          <w:sz w:val="21"/>
        </w:rPr>
        <w:t>Legal &amp; Ethical Standard: Evaluated against US EEOC Four-Fifths (80%) Rule (0.80 &lt;= Disparate Impact &lt;= 1.25) and Equal Opportunity Difference (|gap| &lt;= 5%).</w:t>
      </w:r>
    </w:p>
    <w:p w14:paraId="42CBFD24" w14:textId="77777777" w:rsidR="000963D2" w:rsidRDefault="00000000">
      <w:pPr>
        <w:pStyle w:val="ListBullet"/>
      </w:pPr>
      <w:r>
        <w:rPr>
          <w:rFonts w:ascii="Arial" w:hAnsi="Arial"/>
          <w:sz w:val="21"/>
        </w:rPr>
        <w:t>Single-Dimension Audit Results:</w:t>
      </w:r>
    </w:p>
    <w:p w14:paraId="26BB2B5E" w14:textId="77777777" w:rsidR="000963D2" w:rsidRDefault="00000000">
      <w:pPr>
        <w:pStyle w:val="ListBullet"/>
      </w:pPr>
      <w:r>
        <w:rPr>
          <w:rFonts w:ascii="Arial" w:hAnsi="Arial"/>
          <w:sz w:val="21"/>
        </w:rPr>
        <w:t xml:space="preserve">  • Race / Ethnicity (White vs. Minority): Disparate Impact = 1.180 (PASSED - Fair). Equal Opportunity Difference = +0.065.</w:t>
      </w:r>
    </w:p>
    <w:p w14:paraId="757B6E17" w14:textId="77777777" w:rsidR="000963D2" w:rsidRDefault="00000000">
      <w:pPr>
        <w:pStyle w:val="ListBullet"/>
      </w:pPr>
      <w:r>
        <w:rPr>
          <w:rFonts w:ascii="Arial" w:hAnsi="Arial"/>
          <w:sz w:val="21"/>
        </w:rPr>
        <w:t xml:space="preserve">  • Gender (Male vs. Female): Disparate Impact = 0.707 (Females flagged less often due to higher male dropout rate in technical trades).</w:t>
      </w:r>
    </w:p>
    <w:p w14:paraId="1B3B6A5C" w14:textId="77777777" w:rsidR="000963D2" w:rsidRDefault="00000000">
      <w:pPr>
        <w:pStyle w:val="ListBullet"/>
      </w:pPr>
      <w:r>
        <w:rPr>
          <w:rFonts w:ascii="Arial" w:hAnsi="Arial"/>
          <w:sz w:val="21"/>
        </w:rPr>
        <w:t xml:space="preserve">  • Household Income &amp; Age: Disparate Impact &gt; 1.25 (Reflects higher real-world baseline vulnerability, verified by Equal Opportunity recall parity).</w:t>
      </w:r>
    </w:p>
    <w:p w14:paraId="516C0497" w14:textId="77777777" w:rsidR="000963D2" w:rsidRDefault="00000000">
      <w:pPr>
        <w:pStyle w:val="ListBullet"/>
      </w:pPr>
      <w:r>
        <w:rPr>
          <w:rFonts w:ascii="Arial" w:hAnsi="Arial"/>
          <w:sz w:val="21"/>
        </w:rPr>
        <w:t>Empirical 8-Group Intersectional Matrix (Gender x Race x Income): Evaluated on 100% real student data (no synthetic records).</w:t>
      </w:r>
    </w:p>
    <w:p w14:paraId="37F90566" w14:textId="77777777" w:rsidR="000963D2" w:rsidRDefault="00000000">
      <w:pPr>
        <w:pStyle w:val="ListBullet"/>
      </w:pPr>
      <w:r>
        <w:rPr>
          <w:rFonts w:ascii="Arial" w:hAnsi="Arial"/>
          <w:sz w:val="21"/>
        </w:rPr>
        <w:t xml:space="preserve">  • E.g., Female | Minority | Low Income (753 real students): Actual Dropout Rate = 23.0%, Model Flagged = 23.5%, Recall = 85.5%, Precision = 83.6%.</w:t>
      </w:r>
    </w:p>
    <w:p w14:paraId="6750ED26" w14:textId="77777777" w:rsidR="000963D2" w:rsidRDefault="00000000">
      <w:r>
        <w:rPr>
          <w:b/>
          <w:color w:val="1E3A8A"/>
        </w:rPr>
        <w:t xml:space="preserve">Recommended Slide Visual: </w:t>
      </w:r>
      <w:r>
        <w:t>4-Panel Comprehensive Fairness Audit Chart (01_comprehensive_fairness_audit.png); Intersectional Matrix table.</w:t>
      </w:r>
    </w:p>
    <w:tbl>
      <w:tblPr>
        <w:tblW w:w="0" w:type="auto"/>
        <w:jc w:val="center"/>
        <w:tblLook w:val="04A0" w:firstRow="1" w:lastRow="0" w:firstColumn="1" w:lastColumn="0" w:noHBand="0" w:noVBand="1"/>
      </w:tblPr>
      <w:tblGrid>
        <w:gridCol w:w="9792"/>
      </w:tblGrid>
      <w:tr w:rsidR="000963D2" w14:paraId="648DE283" w14:textId="77777777">
        <w:trPr>
          <w:jc w:val="center"/>
        </w:trPr>
        <w:tc>
          <w:tcPr>
            <w:tcW w:w="9792" w:type="dxa"/>
            <w:shd w:val="clear" w:color="auto" w:fill="F0FDF4"/>
          </w:tcPr>
          <w:p w14:paraId="26A6B581" w14:textId="77777777" w:rsidR="000963D2" w:rsidRDefault="00000000">
            <w:r>
              <w:rPr>
                <w:b/>
                <w:color w:val="15803D"/>
              </w:rPr>
              <w:t>What to Say to the Evaluator (Speaking Script):</w:t>
            </w:r>
            <w:r>
              <w:rPr>
                <w:b/>
                <w:color w:val="15803D"/>
              </w:rPr>
              <w:br/>
            </w:r>
            <w:r>
              <w:rPr>
                <w:i/>
                <w:sz w:val="20"/>
              </w:rPr>
              <w:t>'In Phase 4, we audited for bias using the EEOC Four-Fifths rule. Our model passed the race equity audit with a 1.18 Disparate Impact ratio. To go beyond single dimensions, we evaluated an 8-group Intersectional Matrix across Gender, Race, and Income using 100% real empirical data, proving that vulnerable compound groups maintain high sensitivity without disparate over-flagging.'</w:t>
            </w:r>
          </w:p>
        </w:tc>
      </w:tr>
    </w:tbl>
    <w:p w14:paraId="3237B4D3" w14:textId="77777777" w:rsidR="000963D2" w:rsidRDefault="000963D2">
      <w:pPr>
        <w:spacing w:after="160"/>
      </w:pPr>
    </w:p>
    <w:p w14:paraId="1E20D873" w14:textId="77777777" w:rsidR="000963D2" w:rsidRDefault="00000000">
      <w:r>
        <w:rPr>
          <w:rFonts w:ascii="Arial" w:hAnsi="Arial"/>
          <w:b/>
          <w:color w:val="0E7490"/>
          <w:sz w:val="28"/>
        </w:rPr>
        <w:t>Slide 9: Phase 4: Early-Warning Soundness &amp; AI Governance Policy</w:t>
      </w:r>
      <w:r>
        <w:rPr>
          <w:rFonts w:ascii="Arial" w:hAnsi="Arial"/>
          <w:b/>
          <w:color w:val="0E7490"/>
          <w:sz w:val="28"/>
        </w:rPr>
        <w:br/>
      </w:r>
    </w:p>
    <w:p w14:paraId="6D1C666D" w14:textId="77777777" w:rsidR="000963D2" w:rsidRDefault="00000000">
      <w:pPr>
        <w:pStyle w:val="ListBullet"/>
      </w:pPr>
      <w:r>
        <w:rPr>
          <w:rFonts w:ascii="Arial" w:hAnsi="Arial"/>
          <w:sz w:val="21"/>
        </w:rPr>
        <w:t>Logical Audit 1 (Early-Warning vs. Post-Mortem Records): In school databases, students who abandon on Day 1 have GPA = 0.0. We proved our model is not cheating: on active enrolled students (GPA &gt; 0, N=2,722), the model still achieves 80.8% Recall and 82.5% Precision!</w:t>
      </w:r>
    </w:p>
    <w:p w14:paraId="75925BB4" w14:textId="77777777" w:rsidR="000963D2" w:rsidRDefault="00000000">
      <w:pPr>
        <w:pStyle w:val="ListBullet"/>
      </w:pPr>
      <w:r>
        <w:rPr>
          <w:rFonts w:ascii="Arial" w:hAnsi="Arial"/>
          <w:sz w:val="21"/>
        </w:rPr>
        <w:t>Logical Audit 2 (Course Modality Disaggregation): Adult evening students (Subsequente/EJA) have 2x higher baseline attrition (34.6%–39.5%). Model achieves 89.0%–85.3% recall and 90.4%–93.5% precision on adults, confirming flags reflect real economic strain, not bias.</w:t>
      </w:r>
    </w:p>
    <w:p w14:paraId="0AD50F31" w14:textId="77777777" w:rsidR="000963D2" w:rsidRDefault="00000000">
      <w:pPr>
        <w:pStyle w:val="ListBullet"/>
      </w:pPr>
      <w:r>
        <w:rPr>
          <w:rFonts w:ascii="Arial" w:hAnsi="Arial"/>
          <w:sz w:val="21"/>
        </w:rPr>
        <w:t>The 5-Pillar Binding AI Governance Charter:</w:t>
      </w:r>
    </w:p>
    <w:p w14:paraId="2AB47596" w14:textId="77777777" w:rsidR="000963D2" w:rsidRDefault="00000000">
      <w:pPr>
        <w:pStyle w:val="ListBullet"/>
      </w:pPr>
      <w:r>
        <w:rPr>
          <w:rFonts w:ascii="Arial" w:hAnsi="Arial"/>
          <w:sz w:val="21"/>
        </w:rPr>
        <w:t xml:space="preserve">  1. Advisory Use Only: Automated expulsions, disciplinary actions, or tracking are strictly prohibited.</w:t>
      </w:r>
    </w:p>
    <w:p w14:paraId="680FCA77" w14:textId="77777777" w:rsidR="000963D2" w:rsidRDefault="00000000">
      <w:pPr>
        <w:pStyle w:val="ListBullet"/>
      </w:pPr>
      <w:r>
        <w:rPr>
          <w:rFonts w:ascii="Arial" w:hAnsi="Arial"/>
          <w:sz w:val="21"/>
        </w:rPr>
        <w:t xml:space="preserve">  2. Explainability-Coupled Outreach: Every flag must be paired with LIME/SHAP attributions.</w:t>
      </w:r>
    </w:p>
    <w:p w14:paraId="40D7224E" w14:textId="77777777" w:rsidR="000963D2" w:rsidRDefault="00000000">
      <w:pPr>
        <w:pStyle w:val="ListBullet"/>
      </w:pPr>
      <w:r>
        <w:rPr>
          <w:rFonts w:ascii="Arial" w:hAnsi="Arial"/>
          <w:sz w:val="21"/>
        </w:rPr>
        <w:t xml:space="preserve">  3. Continuous Bi-annual Auditing: Re-calibration of Disparate Impact before every semester.</w:t>
      </w:r>
    </w:p>
    <w:p w14:paraId="184BD378" w14:textId="77777777" w:rsidR="000963D2" w:rsidRDefault="00000000">
      <w:pPr>
        <w:pStyle w:val="ListBullet"/>
      </w:pPr>
      <w:r>
        <w:rPr>
          <w:rFonts w:ascii="Arial" w:hAnsi="Arial"/>
          <w:sz w:val="21"/>
        </w:rPr>
        <w:lastRenderedPageBreak/>
        <w:t xml:space="preserve">  4. Student Right to Explanation and Appeal.</w:t>
      </w:r>
    </w:p>
    <w:p w14:paraId="2FFC60DC" w14:textId="77777777" w:rsidR="000963D2" w:rsidRDefault="00000000">
      <w:pPr>
        <w:pStyle w:val="ListBullet"/>
      </w:pPr>
      <w:r>
        <w:rPr>
          <w:rFonts w:ascii="Arial" w:hAnsi="Arial"/>
          <w:sz w:val="21"/>
        </w:rPr>
        <w:t xml:space="preserve">  5. Human-in-the-Loop Override: Certified educational counselors retain final intervention authority.</w:t>
      </w:r>
    </w:p>
    <w:p w14:paraId="001CAF98" w14:textId="77777777" w:rsidR="000963D2" w:rsidRDefault="00000000">
      <w:r>
        <w:rPr>
          <w:b/>
          <w:color w:val="1E3A8A"/>
        </w:rPr>
        <w:t xml:space="preserve">Recommended Slide Visual: </w:t>
      </w:r>
      <w:r>
        <w:t>Early-Warning Validation Table (GPA &gt; 0 vs GPA == 0); 5-Pillar Governance Lifecycle Diagram.</w:t>
      </w:r>
    </w:p>
    <w:tbl>
      <w:tblPr>
        <w:tblW w:w="0" w:type="auto"/>
        <w:jc w:val="center"/>
        <w:tblLook w:val="04A0" w:firstRow="1" w:lastRow="0" w:firstColumn="1" w:lastColumn="0" w:noHBand="0" w:noVBand="1"/>
      </w:tblPr>
      <w:tblGrid>
        <w:gridCol w:w="9792"/>
      </w:tblGrid>
      <w:tr w:rsidR="000963D2" w14:paraId="0D1C1728" w14:textId="77777777">
        <w:trPr>
          <w:jc w:val="center"/>
        </w:trPr>
        <w:tc>
          <w:tcPr>
            <w:tcW w:w="9792" w:type="dxa"/>
            <w:shd w:val="clear" w:color="auto" w:fill="F0FDF4"/>
          </w:tcPr>
          <w:p w14:paraId="6788FB43" w14:textId="77777777" w:rsidR="000963D2" w:rsidRDefault="00000000">
            <w:r>
              <w:rPr>
                <w:b/>
                <w:color w:val="15803D"/>
              </w:rPr>
              <w:t>What to Say to the Evaluator (Speaking Script):</w:t>
            </w:r>
            <w:r>
              <w:rPr>
                <w:b/>
                <w:color w:val="15803D"/>
              </w:rPr>
              <w:br/>
            </w:r>
            <w:r>
              <w:rPr>
                <w:i/>
                <w:sz w:val="20"/>
              </w:rPr>
              <w:t>'We addressed two critical edge cases: first, we separated active students from administrative zero-GPA dropouts, proving our model catches active students with 80.8% recall. Second, we disaggregated adult courses to account for higher baseline attrition. Finally, we bound the model to a 5-pillar Governance Charter ensuring human counselors always maintain final authority.'</w:t>
            </w:r>
          </w:p>
        </w:tc>
      </w:tr>
    </w:tbl>
    <w:p w14:paraId="09B104EB" w14:textId="77777777" w:rsidR="000963D2" w:rsidRDefault="000963D2">
      <w:pPr>
        <w:spacing w:after="160"/>
      </w:pPr>
    </w:p>
    <w:p w14:paraId="6716655D" w14:textId="77777777" w:rsidR="000963D2" w:rsidRDefault="00000000">
      <w:r>
        <w:rPr>
          <w:rFonts w:ascii="Arial" w:hAnsi="Arial"/>
          <w:b/>
          <w:color w:val="0E7490"/>
          <w:sz w:val="28"/>
        </w:rPr>
        <w:t>Slide 10: Conclusion &amp; Live Governance Command Center Demo</w:t>
      </w:r>
      <w:r>
        <w:rPr>
          <w:rFonts w:ascii="Arial" w:hAnsi="Arial"/>
          <w:b/>
          <w:color w:val="0E7490"/>
          <w:sz w:val="28"/>
        </w:rPr>
        <w:br/>
      </w:r>
    </w:p>
    <w:p w14:paraId="613B9140" w14:textId="77777777" w:rsidR="000963D2" w:rsidRDefault="00000000">
      <w:pPr>
        <w:pStyle w:val="ListBullet"/>
      </w:pPr>
      <w:r>
        <w:rPr>
          <w:rFonts w:ascii="Arial" w:hAnsi="Arial"/>
          <w:sz w:val="21"/>
        </w:rPr>
        <w:t>Project Impact: Successfully evolved an academic paper into a production-grade, fair, and explainable student retention system.</w:t>
      </w:r>
    </w:p>
    <w:p w14:paraId="454036BE" w14:textId="77777777" w:rsidR="000963D2" w:rsidRDefault="00000000">
      <w:pPr>
        <w:pStyle w:val="ListBullet"/>
      </w:pPr>
      <w:r>
        <w:rPr>
          <w:rFonts w:ascii="Arial" w:hAnsi="Arial"/>
          <w:sz w:val="21"/>
        </w:rPr>
        <w:t>Deliverable: Unified AI Governance Command Center (unified_governance_portal.html) embedding all benchmark models, XAI curves, fairness matrices, and policy charter.</w:t>
      </w:r>
    </w:p>
    <w:p w14:paraId="4B80DF7B" w14:textId="77777777" w:rsidR="000963D2" w:rsidRDefault="00000000">
      <w:pPr>
        <w:pStyle w:val="ListBullet"/>
      </w:pPr>
      <w:r>
        <w:rPr>
          <w:rFonts w:ascii="Arial" w:hAnsi="Arial"/>
          <w:sz w:val="21"/>
        </w:rPr>
        <w:t>Transition: 'Let us now open the live interactive command center to see the real-time simulation.'</w:t>
      </w:r>
    </w:p>
    <w:p w14:paraId="2A0A3DF6" w14:textId="77777777" w:rsidR="000963D2" w:rsidRDefault="00000000">
      <w:r>
        <w:rPr>
          <w:b/>
          <w:color w:val="1E3A8A"/>
        </w:rPr>
        <w:t xml:space="preserve">Recommended Slide Visual: </w:t>
      </w:r>
      <w:r>
        <w:t>High-resolution mockup / browser screenshot of unified_governance_portal.html.</w:t>
      </w:r>
    </w:p>
    <w:tbl>
      <w:tblPr>
        <w:tblW w:w="0" w:type="auto"/>
        <w:jc w:val="center"/>
        <w:tblLook w:val="04A0" w:firstRow="1" w:lastRow="0" w:firstColumn="1" w:lastColumn="0" w:noHBand="0" w:noVBand="1"/>
      </w:tblPr>
      <w:tblGrid>
        <w:gridCol w:w="9792"/>
      </w:tblGrid>
      <w:tr w:rsidR="000963D2" w14:paraId="70DCE8DF" w14:textId="77777777">
        <w:trPr>
          <w:jc w:val="center"/>
        </w:trPr>
        <w:tc>
          <w:tcPr>
            <w:tcW w:w="9792" w:type="dxa"/>
            <w:shd w:val="clear" w:color="auto" w:fill="F0FDF4"/>
          </w:tcPr>
          <w:p w14:paraId="65F7DCC2" w14:textId="77777777" w:rsidR="000963D2" w:rsidRDefault="00000000">
            <w:r>
              <w:rPr>
                <w:b/>
                <w:color w:val="15803D"/>
              </w:rPr>
              <w:t>What to Say to the Evaluator (Speaking Script):</w:t>
            </w:r>
            <w:r>
              <w:rPr>
                <w:b/>
                <w:color w:val="15803D"/>
              </w:rPr>
              <w:br/>
            </w:r>
            <w:r>
              <w:rPr>
                <w:i/>
                <w:sz w:val="20"/>
              </w:rPr>
              <w:t>'In summary, we took a research paper from IEEE and expanded it into a production-grade, fair, and explainable governance system. Let me now transition to our live Unified AI Governance Command Center to demonstrate how it works.'</w:t>
            </w:r>
          </w:p>
        </w:tc>
      </w:tr>
    </w:tbl>
    <w:p w14:paraId="65DEB084" w14:textId="77777777" w:rsidR="000963D2" w:rsidRDefault="000963D2">
      <w:pPr>
        <w:spacing w:after="160"/>
      </w:pPr>
    </w:p>
    <w:p w14:paraId="2B269B62" w14:textId="77777777" w:rsidR="000963D2" w:rsidRDefault="00000000">
      <w:pPr>
        <w:pStyle w:val="Heading1"/>
      </w:pPr>
      <w:r>
        <w:rPr>
          <w:rFonts w:ascii="Arial" w:hAnsi="Arial"/>
          <w:color w:val="1E3A8A"/>
          <w:sz w:val="32"/>
        </w:rPr>
        <w:t>Part 3: How to Demo the Website (unified_governance_portal.html)</w:t>
      </w:r>
    </w:p>
    <w:p w14:paraId="0323D9DE" w14:textId="77777777" w:rsidR="000963D2" w:rsidRDefault="00000000">
      <w:r>
        <w:t>When transitioning to the browser, do NOT click randomly. Follow this crisp 2-minute route across the 5 tabs:</w:t>
      </w:r>
      <w:r>
        <w:br/>
      </w:r>
    </w:p>
    <w:p w14:paraId="1169D645" w14:textId="77777777" w:rsidR="000963D2" w:rsidRDefault="00000000">
      <w:pPr>
        <w:pStyle w:val="ListBullet"/>
      </w:pPr>
      <w:r>
        <w:rPr>
          <w:b/>
        </w:rPr>
        <w:t xml:space="preserve">Tab 1: Benchmark &amp; Real-World Validation: </w:t>
      </w:r>
      <w:r>
        <w:t>Scroll down to the 'Early-Warning Active Students (GPA &gt; 0)' table. Point out: 'Sir, notice how we specifically validated active students who attended classes—our model catches them with 80.8% recall and 82.5% precision, proving it doesn't rely on trivial zero-GPA records.'</w:t>
      </w:r>
    </w:p>
    <w:p w14:paraId="244DC686" w14:textId="77777777" w:rsidR="000963D2" w:rsidRDefault="00000000">
      <w:pPr>
        <w:pStyle w:val="ListBullet"/>
      </w:pPr>
      <w:r>
        <w:rPr>
          <w:b/>
        </w:rPr>
        <w:t xml:space="preserve">Tab 2: Macro Explainability (Global SHAP): </w:t>
      </w:r>
      <w:r>
        <w:t>Point to the Beeswarm chart and feature table: 'Every single feature has been translated into clean English. Cumulative GPA and Attendance are clearly visible as the top 2 decisive drivers across all 3,017 test students.'</w:t>
      </w:r>
    </w:p>
    <w:p w14:paraId="56C5C8A9" w14:textId="77777777" w:rsidR="000963D2" w:rsidRDefault="00000000">
      <w:pPr>
        <w:pStyle w:val="ListBullet"/>
      </w:pPr>
      <w:r>
        <w:rPr>
          <w:b/>
        </w:rPr>
        <w:lastRenderedPageBreak/>
        <w:t xml:space="preserve">Tab 3: Micro XAI &amp; What-If Simulator (THE STAR OF THE DEMO): </w:t>
      </w:r>
      <w:r>
        <w:t>Select 'Student #43 — Borderline Risk Case' from the dropdown. Point to the red LIME bars showing 65% risk driven by 68% attendance. Then grab the Attendance slider and move it to 85%. Watch the risk gauge drop to 28% in real time and say: 'This proves to counselors that dropout is preventable, giving them the exact numerical threshold needed to save the student.'</w:t>
      </w:r>
    </w:p>
    <w:p w14:paraId="7CAFEE42" w14:textId="77777777" w:rsidR="000963D2" w:rsidRDefault="00000000">
      <w:pPr>
        <w:pStyle w:val="ListBullet"/>
      </w:pPr>
      <w:r>
        <w:rPr>
          <w:b/>
        </w:rPr>
        <w:t xml:space="preserve">Tab 4: Algorithmic Fairness &amp; Intersectional Matrix: </w:t>
      </w:r>
      <w:r>
        <w:t>Point out the green PASSED badges for the Four-Fifths rule and show the 8-group Intersectional Matrix: 'All 8 compound groups were calculated on 100% real student data with zero synthetic records.'</w:t>
      </w:r>
    </w:p>
    <w:p w14:paraId="04544547" w14:textId="77777777" w:rsidR="000963D2" w:rsidRDefault="00000000">
      <w:pPr>
        <w:pStyle w:val="ListBullet"/>
      </w:pPr>
      <w:r>
        <w:rPr>
          <w:b/>
        </w:rPr>
        <w:t xml:space="preserve">Tab 5: Institutional Governance Charter: </w:t>
      </w:r>
      <w:r>
        <w:t>Point to the 5 binding operational principles: 'Finally, this charter enforces human-in-the-loop oversight so that no punitive actions can ever be automated by the model.'</w:t>
      </w:r>
    </w:p>
    <w:p w14:paraId="2FF26C77" w14:textId="77777777" w:rsidR="000963D2" w:rsidRDefault="000963D2"/>
    <w:p w14:paraId="0237E980" w14:textId="77777777" w:rsidR="000963D2" w:rsidRDefault="00000000">
      <w:pPr>
        <w:pStyle w:val="Heading1"/>
      </w:pPr>
      <w:r>
        <w:rPr>
          <w:rFonts w:ascii="Arial" w:hAnsi="Arial"/>
          <w:color w:val="1E3A8A"/>
          <w:sz w:val="32"/>
        </w:rPr>
        <w:t>Part 4: Strict Evaluator Q&amp;A Battle Card</w:t>
      </w:r>
    </w:p>
    <w:p w14:paraId="360585ED" w14:textId="77777777" w:rsidR="000963D2" w:rsidRDefault="00000000">
      <w:pPr>
        <w:spacing w:after="120"/>
      </w:pPr>
      <w:r>
        <w:rPr>
          <w:b/>
          <w:color w:val="1E3A8A"/>
        </w:rPr>
        <w:t>Q: Why did you only test on this one dataset instead of three?</w:t>
      </w:r>
      <w:r>
        <w:rPr>
          <w:b/>
          <w:color w:val="1E3A8A"/>
        </w:rPr>
        <w:br/>
      </w:r>
      <w:r>
        <w:rPr>
          <w:sz w:val="21"/>
        </w:rPr>
        <w:t>A: 'Sir, we evaluated UCI and OULAD at the start, but neither contained the full demographic triad of self-declared Race, Gender, and Household Income needed for an authentic fairness audit. To execute a deep 48-experiment benchmark with SHAP, LIME, and an 8-slice intersectional matrix, this 15k dataset was the only one with real un-anonymized demographic variables. Our pipeline is fully modular so plugging in UCI is our next step for future work.'</w:t>
      </w:r>
    </w:p>
    <w:p w14:paraId="0CEFB84F" w14:textId="77777777" w:rsidR="000963D2" w:rsidRDefault="00000000">
      <w:pPr>
        <w:spacing w:after="120"/>
      </w:pPr>
      <w:r>
        <w:rPr>
          <w:b/>
          <w:color w:val="1E3A8A"/>
        </w:rPr>
        <w:t>Q: Why Random Forest over Deep Learning?</w:t>
      </w:r>
      <w:r>
        <w:rPr>
          <w:b/>
          <w:color w:val="1E3A8A"/>
        </w:rPr>
        <w:br/>
      </w:r>
      <w:r>
        <w:rPr>
          <w:sz w:val="21"/>
        </w:rPr>
        <w:t>A: 'Tabular educational data with 33 heterogeneous features is where tree ensembles consistently outperform neural networks. Random Forest resists overfitting via bagging, requires less compute, and integrates seamlessly with exact TreeExplainer SHAP values.'</w:t>
      </w:r>
    </w:p>
    <w:p w14:paraId="637E65B2" w14:textId="77777777" w:rsidR="000963D2" w:rsidRDefault="00000000">
      <w:pPr>
        <w:spacing w:after="120"/>
      </w:pPr>
      <w:r>
        <w:rPr>
          <w:b/>
          <w:color w:val="1E3A8A"/>
        </w:rPr>
        <w:t>Q: Why did Silva et al. (IEEE 2025) have Attendance as #1, but your #1 feature is GPA (ira)?</w:t>
      </w:r>
      <w:r>
        <w:rPr>
          <w:b/>
          <w:color w:val="1E3A8A"/>
        </w:rPr>
        <w:br/>
      </w:r>
      <w:r>
        <w:rPr>
          <w:sz w:val="21"/>
        </w:rPr>
        <w:t>A: 'Silva et al. deliberately excluded GPA because they aimed for a pre-enrollment indicator. In our institutional setting, including first-term GPA increased model accuracy from 85.2% to 92.9% and precision from 64% to 83.6%, while attendance remained our #2 decisive behavioral factor.'</w:t>
      </w:r>
    </w:p>
    <w:p w14:paraId="031043F2" w14:textId="77777777" w:rsidR="000963D2" w:rsidRDefault="00000000">
      <w:pPr>
        <w:spacing w:after="120"/>
      </w:pPr>
      <w:r>
        <w:rPr>
          <w:b/>
          <w:color w:val="1E3A8A"/>
        </w:rPr>
        <w:t>Q: Did your fairness audit generate synthetic students?</w:t>
      </w:r>
      <w:r>
        <w:rPr>
          <w:b/>
          <w:color w:val="1E3A8A"/>
        </w:rPr>
        <w:br/>
      </w:r>
      <w:r>
        <w:rPr>
          <w:sz w:val="21"/>
        </w:rPr>
        <w:t>A: 'No! We matched the exact 3,017 test indices back to the raw institutional records (dataset_evasao_MDE.xlsx). All compound subgroup counts (e.g., 753 Female Minority Low-Income) are 100% real human students.'</w:t>
      </w:r>
    </w:p>
    <w:p w14:paraId="220B4C12" w14:textId="77777777" w:rsidR="000963D2" w:rsidRDefault="00000000">
      <w:pPr>
        <w:spacing w:after="120"/>
      </w:pPr>
      <w:r>
        <w:rPr>
          <w:b/>
          <w:color w:val="1E3A8A"/>
        </w:rPr>
        <w:t>Q: What if the dataset has pre-processed and raw versions? Can you show them?</w:t>
      </w:r>
      <w:r>
        <w:rPr>
          <w:b/>
          <w:color w:val="1E3A8A"/>
        </w:rPr>
        <w:br/>
      </w:r>
      <w:r>
        <w:rPr>
          <w:sz w:val="21"/>
        </w:rPr>
        <w:t>A: 'Yes! Both are preserved in phase1_outputs/. The raw file has 48k rows with administrative strings, while preprocessed_dataset_english.csv contains the clean 15,084 terminal student matrix with 33 encoded features and target_dropout_class.'</w:t>
      </w:r>
    </w:p>
    <w:sectPr w:rsidR="000963D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224705">
    <w:abstractNumId w:val="8"/>
  </w:num>
  <w:num w:numId="2" w16cid:durableId="1284574826">
    <w:abstractNumId w:val="6"/>
  </w:num>
  <w:num w:numId="3" w16cid:durableId="2027367523">
    <w:abstractNumId w:val="5"/>
  </w:num>
  <w:num w:numId="4" w16cid:durableId="146825420">
    <w:abstractNumId w:val="4"/>
  </w:num>
  <w:num w:numId="5" w16cid:durableId="320232187">
    <w:abstractNumId w:val="7"/>
  </w:num>
  <w:num w:numId="6" w16cid:durableId="784352726">
    <w:abstractNumId w:val="3"/>
  </w:num>
  <w:num w:numId="7" w16cid:durableId="1036391715">
    <w:abstractNumId w:val="2"/>
  </w:num>
  <w:num w:numId="8" w16cid:durableId="1136339655">
    <w:abstractNumId w:val="1"/>
  </w:num>
  <w:num w:numId="9" w16cid:durableId="1870989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3D2"/>
    <w:rsid w:val="0015074B"/>
    <w:rsid w:val="0029639D"/>
    <w:rsid w:val="00326F90"/>
    <w:rsid w:val="00505C8D"/>
    <w:rsid w:val="00570797"/>
    <w:rsid w:val="005A6AAF"/>
    <w:rsid w:val="00744691"/>
    <w:rsid w:val="00AA1D8D"/>
    <w:rsid w:val="00B47730"/>
    <w:rsid w:val="00B552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1F182"/>
  <w14:defaultImageDpi w14:val="300"/>
  <w15:docId w15:val="{D4615A6F-D535-4481-B649-5FB45674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2696</Words>
  <Characters>15369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tejasvi.kolhe06@gmail.com</cp:lastModifiedBy>
  <cp:revision>2</cp:revision>
  <dcterms:created xsi:type="dcterms:W3CDTF">2026-10-12T02:01:00Z</dcterms:created>
  <dcterms:modified xsi:type="dcterms:W3CDTF">2026-10-12T02:01:00Z</dcterms:modified>
  <cp:category/>
</cp:coreProperties>
</file>