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0723F" w14:textId="77777777" w:rsidR="00B413F8" w:rsidRDefault="00000000">
      <w:pPr>
        <w:spacing w:after="60"/>
      </w:pPr>
      <w:r>
        <w:rPr>
          <w:b/>
          <w:bCs/>
          <w:color w:val="000000"/>
          <w:sz w:val="32"/>
          <w:szCs w:val="32"/>
        </w:rPr>
        <w:t>Literature Review Matrix</w:t>
      </w:r>
    </w:p>
    <w:p w14:paraId="6E9BB180" w14:textId="35008C05" w:rsidR="00B413F8" w:rsidRDefault="00000000">
      <w:pPr>
        <w:spacing w:after="220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Explainable AI Governance Framework for Fair Student Performance Evaluation</w:t>
      </w:r>
      <w:r w:rsidR="00D11DE9">
        <w:rPr>
          <w:i/>
          <w:iCs/>
          <w:color w:val="000000"/>
          <w:sz w:val="22"/>
          <w:szCs w:val="22"/>
        </w:rPr>
        <w:t xml:space="preserve"> </w:t>
      </w:r>
    </w:p>
    <w:p w14:paraId="6B998B15" w14:textId="77777777" w:rsidR="00D11DE9" w:rsidRDefault="00D11DE9">
      <w:pPr>
        <w:spacing w:after="220"/>
      </w:pPr>
    </w:p>
    <w:tbl>
      <w:tblPr>
        <w:tblW w:w="15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0"/>
        <w:gridCol w:w="770"/>
        <w:gridCol w:w="2310"/>
        <w:gridCol w:w="3080"/>
        <w:gridCol w:w="2770"/>
        <w:gridCol w:w="2310"/>
        <w:gridCol w:w="2310"/>
      </w:tblGrid>
      <w:tr w:rsidR="00B413F8" w14:paraId="1C9884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F57ACD" w14:textId="77777777" w:rsidR="00B413F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Author(s)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74FBB1" w14:textId="77777777" w:rsidR="00B413F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Year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E87A62" w14:textId="77777777" w:rsidR="00B413F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Purpose of the Study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BED93" w14:textId="77777777" w:rsidR="00B413F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Methodology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C5F06E" w14:textId="77777777" w:rsidR="00B413F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Key Findings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A55F22" w14:textId="77777777" w:rsidR="00B413F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Limitations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3F9DE0" w14:textId="77777777" w:rsidR="00B413F8" w:rsidRDefault="00000000">
            <w:pPr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Relevance to Your Work</w:t>
            </w:r>
          </w:p>
        </w:tc>
      </w:tr>
      <w:tr w:rsidR="00B413F8" w14:paraId="2A7B2759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C17B8" w14:textId="41C879AF" w:rsidR="00B413F8" w:rsidRDefault="00190532">
            <w:r>
              <w:rPr>
                <w:color w:val="000000"/>
                <w:sz w:val="17"/>
                <w:szCs w:val="17"/>
              </w:rPr>
              <w:t>(</w:t>
            </w:r>
            <w:proofErr w:type="gramStart"/>
            <w:r>
              <w:rPr>
                <w:color w:val="000000"/>
                <w:sz w:val="17"/>
                <w:szCs w:val="17"/>
              </w:rPr>
              <w:t>8)</w:t>
            </w:r>
            <w:proofErr w:type="spellStart"/>
            <w:r w:rsidR="00000000">
              <w:rPr>
                <w:color w:val="000000"/>
                <w:sz w:val="17"/>
                <w:szCs w:val="17"/>
              </w:rPr>
              <w:t>Mengash</w:t>
            </w:r>
            <w:proofErr w:type="spellEnd"/>
            <w:proofErr w:type="gramEnd"/>
            <w:r w:rsidR="00000000">
              <w:rPr>
                <w:color w:val="000000"/>
                <w:sz w:val="17"/>
                <w:szCs w:val="17"/>
              </w:rPr>
              <w:t>, H. A.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C6BF71" w14:textId="77777777" w:rsidR="00B413F8" w:rsidRDefault="00000000">
            <w:r>
              <w:rPr>
                <w:color w:val="000000"/>
                <w:sz w:val="17"/>
                <w:szCs w:val="17"/>
              </w:rPr>
              <w:t>2020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2479" w14:textId="77777777" w:rsidR="00B413F8" w:rsidRDefault="00000000">
            <w:r>
              <w:rPr>
                <w:color w:val="000000"/>
                <w:sz w:val="17"/>
                <w:szCs w:val="17"/>
              </w:rPr>
              <w:t>Use data-mining techniques on pre-admission variables to support university admission decisions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3084E" w14:textId="77777777" w:rsidR="00B413F8" w:rsidRDefault="00000000">
            <w:r>
              <w:rPr>
                <w:color w:val="000000"/>
                <w:sz w:val="17"/>
                <w:szCs w:val="17"/>
              </w:rPr>
              <w:t>Comparison of data-mining classifiers incl. Artificial Neural Network; 2,039 CS/IS applicants, Saudi public university, 2016–2019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263B6" w14:textId="77777777" w:rsidR="00B413F8" w:rsidRDefault="00000000">
            <w:r>
              <w:rPr>
                <w:color w:val="000000"/>
                <w:sz w:val="17"/>
                <w:szCs w:val="17"/>
              </w:rPr>
              <w:t>Pre-admission scores (esp. Scholastic Achievement Admission Test) predict future performance; ANN accuracy &gt;79%; recommends re-weighting admission criteria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832FA" w14:textId="77777777" w:rsidR="00B413F8" w:rsidRDefault="00000000">
            <w:r>
              <w:rPr>
                <w:color w:val="000000"/>
                <w:sz w:val="17"/>
                <w:szCs w:val="17"/>
              </w:rPr>
              <w:t>Single Saudi public university, single applicant pool; no bias audit despite using sensitive/proxy data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08964E" w14:textId="77777777" w:rsidR="00B413F8" w:rsidRDefault="00000000">
            <w:r>
              <w:rPr>
                <w:color w:val="000000"/>
                <w:sz w:val="17"/>
                <w:szCs w:val="17"/>
              </w:rPr>
              <w:t>Uses sensitive/proxy admissions data with no bias audit across gender or socio-economic background — motivates the SDG 10 focus of this project</w:t>
            </w:r>
          </w:p>
        </w:tc>
      </w:tr>
      <w:tr w:rsidR="00B413F8" w14:paraId="0F416370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1424B" w14:textId="655C0D63" w:rsidR="00B413F8" w:rsidRDefault="00190532">
            <w:r>
              <w:rPr>
                <w:color w:val="000000"/>
                <w:sz w:val="17"/>
                <w:szCs w:val="17"/>
              </w:rPr>
              <w:t>(</w:t>
            </w:r>
            <w:proofErr w:type="gramStart"/>
            <w:r w:rsidR="00DA08FE">
              <w:rPr>
                <w:color w:val="000000"/>
                <w:sz w:val="17"/>
                <w:szCs w:val="17"/>
              </w:rPr>
              <w:t>16)</w:t>
            </w:r>
            <w:r w:rsidR="00000000">
              <w:rPr>
                <w:color w:val="000000"/>
                <w:sz w:val="17"/>
                <w:szCs w:val="17"/>
              </w:rPr>
              <w:t>Priyadarshini</w:t>
            </w:r>
            <w:proofErr w:type="gramEnd"/>
            <w:r w:rsidR="00000000">
              <w:rPr>
                <w:color w:val="000000"/>
                <w:sz w:val="17"/>
                <w:szCs w:val="17"/>
              </w:rPr>
              <w:t>, A., &amp; Gago-</w:t>
            </w:r>
            <w:proofErr w:type="spellStart"/>
            <w:r w:rsidR="00000000">
              <w:rPr>
                <w:color w:val="000000"/>
                <w:sz w:val="17"/>
                <w:szCs w:val="17"/>
              </w:rPr>
              <w:t>Masague</w:t>
            </w:r>
            <w:proofErr w:type="spellEnd"/>
            <w:r w:rsidR="00000000">
              <w:rPr>
                <w:color w:val="000000"/>
                <w:sz w:val="17"/>
                <w:szCs w:val="17"/>
              </w:rPr>
              <w:t>, S.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792398" w14:textId="77777777" w:rsidR="00B413F8" w:rsidRDefault="00000000">
            <w:r>
              <w:rPr>
                <w:color w:val="000000"/>
                <w:sz w:val="17"/>
                <w:szCs w:val="17"/>
              </w:rPr>
              <w:t>2024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74AB8" w14:textId="77777777" w:rsidR="00B413F8" w:rsidRDefault="00000000">
            <w:r>
              <w:rPr>
                <w:color w:val="000000"/>
                <w:sz w:val="17"/>
                <w:szCs w:val="17"/>
              </w:rPr>
              <w:t>Reduce demographic bias in admissions predictions via adversarial debiasing while preserving accuracy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A6024" w14:textId="77777777" w:rsidR="00B413F8" w:rsidRDefault="00000000">
            <w:r>
              <w:rPr>
                <w:color w:val="000000"/>
                <w:sz w:val="17"/>
                <w:szCs w:val="17"/>
              </w:rPr>
              <w:t>Adversarial debiasing deep-learning framework with OAdam optimizer, jointly optimizing recall and fairness; UC Irvine CS undergraduate applicant data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7231D" w14:textId="77777777" w:rsidR="00B413F8" w:rsidRDefault="00000000">
            <w:r>
              <w:rPr>
                <w:color w:val="000000"/>
                <w:sz w:val="17"/>
                <w:szCs w:val="17"/>
              </w:rPr>
              <w:t>Adversarial debiasing reduces false negatives for marginalized applicant groups while preserving predictive performance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AE7E1" w14:textId="77777777" w:rsidR="00B413F8" w:rsidRDefault="00000000">
            <w:r>
              <w:rPr>
                <w:color w:val="000000"/>
                <w:sz w:val="17"/>
                <w:szCs w:val="17"/>
              </w:rPr>
              <w:t>Single institution (UC Irvine), single applicant pool; in-training debiasing only, not a post-hoc audit; no XAI layer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E5C23" w14:textId="77777777" w:rsidR="00B413F8" w:rsidRDefault="00000000">
            <w:r>
              <w:rPr>
                <w:color w:val="000000"/>
                <w:sz w:val="17"/>
                <w:szCs w:val="17"/>
              </w:rPr>
              <w:t>Strongest fairness-methodology reference for Pillar 3, but in-training only and has no XAI or governance layer</w:t>
            </w:r>
          </w:p>
        </w:tc>
      </w:tr>
      <w:tr w:rsidR="00B413F8" w14:paraId="1251DDD4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0866B" w14:textId="77777777" w:rsidR="00B413F8" w:rsidRDefault="00000000">
            <w:r>
              <w:rPr>
                <w:color w:val="000000"/>
                <w:sz w:val="17"/>
                <w:szCs w:val="17"/>
              </w:rPr>
              <w:t>Silva, F. da C., Santana, A. M., &amp; Feitosa, R. M.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1A2B1" w14:textId="77777777" w:rsidR="00B413F8" w:rsidRDefault="00000000">
            <w:r>
              <w:rPr>
                <w:color w:val="000000"/>
                <w:sz w:val="17"/>
                <w:szCs w:val="17"/>
              </w:rPr>
              <w:t>2025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B48C1" w14:textId="77777777" w:rsidR="00B413F8" w:rsidRDefault="00000000">
            <w:r>
              <w:rPr>
                <w:color w:val="000000"/>
                <w:sz w:val="17"/>
                <w:szCs w:val="17"/>
              </w:rPr>
              <w:t>Identify dropout indicators in secondary technical education using Explainable AI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2CFAF" w14:textId="77777777" w:rsidR="00B413F8" w:rsidRDefault="00000000">
            <w:r>
              <w:rPr>
                <w:color w:val="000000"/>
                <w:sz w:val="17"/>
                <w:szCs w:val="17"/>
              </w:rPr>
              <w:t>Decision-tree-based classifiers (incl. Random Forest) + LIME/SHAP; 15,084 students, Brazilian secondary technical institution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62F8F" w14:textId="77777777" w:rsidR="00B413F8" w:rsidRDefault="00000000">
            <w:r>
              <w:rPr>
                <w:color w:val="000000"/>
                <w:sz w:val="17"/>
                <w:szCs w:val="17"/>
              </w:rPr>
              <w:t>Random Forest achieved 85% recall; SHAP/LIME consistently highlighted attendance, family income and residence as key dropout drivers; supports targeted policy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B69A0" w14:textId="77777777" w:rsidR="00B413F8" w:rsidRDefault="00000000">
            <w:r>
              <w:rPr>
                <w:color w:val="000000"/>
                <w:sz w:val="17"/>
                <w:szCs w:val="17"/>
              </w:rPr>
              <w:t>Single-country (Brazilian) institution dataset; no formal fairness audit despite demographic drivers found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FEF73" w14:textId="77777777" w:rsidR="00B413F8" w:rsidRDefault="00000000">
            <w:r>
              <w:rPr>
                <w:color w:val="000000"/>
                <w:sz w:val="17"/>
                <w:szCs w:val="17"/>
              </w:rPr>
              <w:t xml:space="preserve">Directly validates the </w:t>
            </w:r>
            <w:proofErr w:type="spellStart"/>
            <w:r>
              <w:rPr>
                <w:color w:val="000000"/>
                <w:sz w:val="17"/>
                <w:szCs w:val="17"/>
              </w:rPr>
              <w:t>Model→XAI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pipeline (Pillars 1–2) but stops short of a formal fairness audit or governance layer</w:t>
            </w:r>
          </w:p>
        </w:tc>
      </w:tr>
      <w:tr w:rsidR="00B413F8" w14:paraId="6341C546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7D9B1" w14:textId="77777777" w:rsidR="00B413F8" w:rsidRDefault="00000000">
            <w:proofErr w:type="spellStart"/>
            <w:r>
              <w:rPr>
                <w:color w:val="000000"/>
                <w:sz w:val="17"/>
                <w:szCs w:val="17"/>
              </w:rPr>
              <w:t>Zanellati</w:t>
            </w:r>
            <w:proofErr w:type="spellEnd"/>
            <w:r>
              <w:rPr>
                <w:color w:val="000000"/>
                <w:sz w:val="17"/>
                <w:szCs w:val="17"/>
              </w:rPr>
              <w:t>, A., Zingaro, S. P., &amp; Gabbrielli, M.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746AC" w14:textId="77777777" w:rsidR="00B413F8" w:rsidRDefault="00000000">
            <w:r>
              <w:rPr>
                <w:color w:val="000000"/>
                <w:sz w:val="17"/>
                <w:szCs w:val="17"/>
              </w:rPr>
              <w:t>2024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197C" w14:textId="77777777" w:rsidR="00B413F8" w:rsidRDefault="00000000">
            <w:r>
              <w:rPr>
                <w:color w:val="000000"/>
                <w:sz w:val="17"/>
                <w:szCs w:val="17"/>
              </w:rPr>
              <w:t>Balance predictive performance and explainability in dropout prediction while checking fairness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1A48F" w14:textId="77777777" w:rsidR="00B413F8" w:rsidRDefault="00000000">
            <w:r>
              <w:rPr>
                <w:color w:val="000000"/>
                <w:sz w:val="17"/>
                <w:szCs w:val="17"/>
              </w:rPr>
              <w:t>Random Forest vs. Feature Tokenizer Transformer (FTT) + SHAP; explicit fairness analysis; 40,000+ students, Italian university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2B4D3" w14:textId="77777777" w:rsidR="00B413F8" w:rsidRDefault="00000000">
            <w:r>
              <w:rPr>
                <w:color w:val="000000"/>
                <w:sz w:val="17"/>
                <w:szCs w:val="17"/>
              </w:rPr>
              <w:t>FTT outperforms RF (81% sensitivity) while remaining explainable via SHAP; fairness analysis confirms equitable treatment across student profiles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E94F" w14:textId="77777777" w:rsidR="00B413F8" w:rsidRDefault="00000000">
            <w:r>
              <w:rPr>
                <w:color w:val="000000"/>
                <w:sz w:val="17"/>
                <w:szCs w:val="17"/>
              </w:rPr>
              <w:t>Single-country (Italian) dataset; no governance, access-control, or appeal mechanism built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64068" w14:textId="77777777" w:rsidR="00B413F8" w:rsidRDefault="00000000">
            <w:r>
              <w:rPr>
                <w:color w:val="000000"/>
                <w:sz w:val="17"/>
                <w:szCs w:val="17"/>
              </w:rPr>
              <w:t xml:space="preserve">Closest published analogue to the </w:t>
            </w:r>
            <w:proofErr w:type="spellStart"/>
            <w:r>
              <w:rPr>
                <w:color w:val="000000"/>
                <w:sz w:val="17"/>
                <w:szCs w:val="17"/>
              </w:rPr>
              <w:t>Model→XAI→Fairness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chain, but lacks governance/appeal (Pillar 4) and isn't tailored to the Indian SDG 4/10 context</w:t>
            </w:r>
          </w:p>
        </w:tc>
      </w:tr>
      <w:tr w:rsidR="00B413F8" w14:paraId="277B50CF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9F30E" w14:textId="7D12C057" w:rsidR="00B413F8" w:rsidRDefault="00DA08FE">
            <w:r>
              <w:rPr>
                <w:color w:val="000000"/>
                <w:sz w:val="17"/>
                <w:szCs w:val="17"/>
              </w:rPr>
              <w:t>(</w:t>
            </w:r>
            <w:proofErr w:type="gramStart"/>
            <w:r>
              <w:rPr>
                <w:color w:val="000000"/>
                <w:sz w:val="17"/>
                <w:szCs w:val="17"/>
              </w:rPr>
              <w:t>5)</w:t>
            </w:r>
            <w:r w:rsidR="00000000">
              <w:rPr>
                <w:color w:val="000000"/>
                <w:sz w:val="17"/>
                <w:szCs w:val="17"/>
              </w:rPr>
              <w:t>Alhazmi</w:t>
            </w:r>
            <w:proofErr w:type="gramEnd"/>
            <w:r w:rsidR="00000000">
              <w:rPr>
                <w:color w:val="000000"/>
                <w:sz w:val="17"/>
                <w:szCs w:val="17"/>
              </w:rPr>
              <w:t xml:space="preserve">, E., &amp; </w:t>
            </w:r>
            <w:proofErr w:type="spellStart"/>
            <w:r w:rsidR="00000000">
              <w:rPr>
                <w:color w:val="000000"/>
                <w:sz w:val="17"/>
                <w:szCs w:val="17"/>
              </w:rPr>
              <w:t>Sheneamer</w:t>
            </w:r>
            <w:proofErr w:type="spellEnd"/>
            <w:r w:rsidR="00000000">
              <w:rPr>
                <w:color w:val="000000"/>
                <w:sz w:val="17"/>
                <w:szCs w:val="17"/>
              </w:rPr>
              <w:t>, A.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E5E1D" w14:textId="77777777" w:rsidR="00B413F8" w:rsidRDefault="00000000">
            <w:r>
              <w:rPr>
                <w:color w:val="000000"/>
                <w:sz w:val="17"/>
                <w:szCs w:val="17"/>
              </w:rPr>
              <w:t>2023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D6C75" w14:textId="77777777" w:rsidR="00B413F8" w:rsidRDefault="00000000">
            <w:r>
              <w:rPr>
                <w:color w:val="000000"/>
                <w:sz w:val="17"/>
                <w:szCs w:val="17"/>
              </w:rPr>
              <w:t>Predict at-risk students as early as possible from institutional records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689E3" w14:textId="77777777" w:rsidR="00B413F8" w:rsidRDefault="00000000">
            <w:r>
              <w:rPr>
                <w:color w:val="000000"/>
                <w:sz w:val="17"/>
                <w:szCs w:val="17"/>
              </w:rPr>
              <w:t>Data-mining/ML pipeline with feature engineering; student information-system records (demographics, prior scores, course data), Vietnamese multidisciplinary university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4AAF2" w14:textId="77777777" w:rsidR="00B413F8" w:rsidRDefault="00000000">
            <w:r>
              <w:rPr>
                <w:color w:val="000000"/>
                <w:sz w:val="17"/>
                <w:szCs w:val="17"/>
              </w:rPr>
              <w:t>Early-stage features alone are sufficient to flag at-risk students with useful accuracy before course completion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EEBD2" w14:textId="77777777" w:rsidR="00B413F8" w:rsidRDefault="00000000">
            <w:r>
              <w:rPr>
                <w:color w:val="000000"/>
                <w:sz w:val="17"/>
                <w:szCs w:val="17"/>
              </w:rPr>
              <w:t>Single-institution (Vietnamese) dataset; focused purely on prediction accuracy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98BF6" w14:textId="77777777" w:rsidR="00B413F8" w:rsidRDefault="00000000">
            <w:r>
              <w:rPr>
                <w:color w:val="000000"/>
                <w:sz w:val="17"/>
                <w:szCs w:val="17"/>
              </w:rPr>
              <w:t>No explanation delivered to teacher/student, and no fairness check on the flagged group</w:t>
            </w:r>
          </w:p>
        </w:tc>
      </w:tr>
      <w:tr w:rsidR="00B413F8" w14:paraId="32CAA7E1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7D304" w14:textId="77777777" w:rsidR="00B413F8" w:rsidRDefault="00000000">
            <w:r>
              <w:rPr>
                <w:color w:val="000000"/>
                <w:sz w:val="17"/>
                <w:szCs w:val="17"/>
              </w:rPr>
              <w:t>Ma, H., Huang, Z., Tang, W., Zhu, H., Zhang, H., &amp; Li, J.; Jiang, P., &amp; Wang, X.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714AC" w14:textId="77777777" w:rsidR="00B413F8" w:rsidRDefault="00000000">
            <w:r>
              <w:rPr>
                <w:color w:val="000000"/>
                <w:sz w:val="17"/>
                <w:szCs w:val="17"/>
              </w:rPr>
              <w:t>2023; 2020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0EA9F" w14:textId="77777777" w:rsidR="00B413F8" w:rsidRDefault="00000000">
            <w:r>
              <w:rPr>
                <w:color w:val="000000"/>
                <w:sz w:val="17"/>
                <w:szCs w:val="17"/>
              </w:rPr>
              <w:t>Ma et al.: improve future-exam prediction by modelling uncertainty in student understanding. Jiang &amp; Wang: improve prediction and interpretability by incorporating learning-material preferences into cognitive diagnosis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58AF5" w14:textId="77777777" w:rsidR="00B413F8" w:rsidRDefault="00000000">
            <w:r>
              <w:rPr>
                <w:color w:val="000000"/>
                <w:sz w:val="17"/>
                <w:szCs w:val="17"/>
              </w:rPr>
              <w:t xml:space="preserve">Ma et al.: </w:t>
            </w:r>
            <w:proofErr w:type="spellStart"/>
            <w:r>
              <w:rPr>
                <w:color w:val="000000"/>
                <w:sz w:val="17"/>
                <w:szCs w:val="17"/>
              </w:rPr>
              <w:t>neutrosophic</w:t>
            </w:r>
            <w:proofErr w:type="spellEnd"/>
            <w:r>
              <w:rPr>
                <w:color w:val="000000"/>
                <w:sz w:val="17"/>
                <w:szCs w:val="17"/>
              </w:rPr>
              <w:t>-set theory + neighbourhood collaborative filtering + probabilistic matrix factorization, real-world e-learning exercise/score data. Jiang &amp; Wang: “</w:t>
            </w:r>
            <w:proofErr w:type="spellStart"/>
            <w:r>
              <w:rPr>
                <w:color w:val="000000"/>
                <w:sz w:val="17"/>
                <w:szCs w:val="17"/>
              </w:rPr>
              <w:t>PreferenceCD</w:t>
            </w:r>
            <w:proofErr w:type="spellEnd"/>
            <w:r>
              <w:rPr>
                <w:color w:val="000000"/>
                <w:sz w:val="17"/>
                <w:szCs w:val="17"/>
              </w:rPr>
              <w:t>” combining preference data with cognitive diagnosis, real-world online-learning exercise/score dataset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10D7DC" w14:textId="77777777" w:rsidR="00B413F8" w:rsidRDefault="00000000">
            <w:r>
              <w:rPr>
                <w:color w:val="000000"/>
                <w:sz w:val="17"/>
                <w:szCs w:val="17"/>
              </w:rPr>
              <w:t>Ma et al.: explicit uncertainty modelling improves future-exam prediction accuracy with low computational cost. Jiang &amp; Wang: incorporating preference improves accuracy, RMSE and MAE over baselines while remaining interpretable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35DA54" w14:textId="77777777" w:rsidR="00B413F8" w:rsidRDefault="00000000">
            <w:r>
              <w:rPr>
                <w:color w:val="000000"/>
                <w:sz w:val="17"/>
                <w:szCs w:val="17"/>
              </w:rPr>
              <w:t>Ma et al.: no fairness/governance dimension, evaluated only on e-learning data. Jiang &amp; Wang: interpretability is model-intrinsic, not post-hoc/teacher-facing; single dataset; no fairness dimension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5A653" w14:textId="77777777" w:rsidR="00B413F8" w:rsidRDefault="00000000">
            <w:r>
              <w:rPr>
                <w:color w:val="000000"/>
                <w:sz w:val="17"/>
                <w:szCs w:val="17"/>
              </w:rPr>
              <w:t>Ma et al. offers a useful confidence signal for explanations; Jiang &amp; Wang clarifies what the XAI pillar needs beyond model-intrinsic transparency — neither combines with fairness auditing</w:t>
            </w:r>
          </w:p>
        </w:tc>
      </w:tr>
      <w:tr w:rsidR="00B413F8" w14:paraId="15F1D82E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72188" w14:textId="515E08B0" w:rsidR="00B413F8" w:rsidRDefault="00DA08FE">
            <w:r>
              <w:rPr>
                <w:color w:val="000000"/>
                <w:sz w:val="17"/>
                <w:szCs w:val="17"/>
              </w:rPr>
              <w:lastRenderedPageBreak/>
              <w:t>(</w:t>
            </w:r>
            <w:proofErr w:type="gramStart"/>
            <w:r>
              <w:rPr>
                <w:color w:val="000000"/>
                <w:sz w:val="17"/>
                <w:szCs w:val="17"/>
              </w:rPr>
              <w:t>7)</w:t>
            </w:r>
            <w:proofErr w:type="spellStart"/>
            <w:r w:rsidR="00000000">
              <w:rPr>
                <w:color w:val="000000"/>
                <w:sz w:val="17"/>
                <w:szCs w:val="17"/>
              </w:rPr>
              <w:t>Pelima</w:t>
            </w:r>
            <w:proofErr w:type="spellEnd"/>
            <w:proofErr w:type="gramEnd"/>
            <w:r w:rsidR="00000000">
              <w:rPr>
                <w:color w:val="000000"/>
                <w:sz w:val="17"/>
                <w:szCs w:val="17"/>
              </w:rPr>
              <w:t xml:space="preserve">, L. R., </w:t>
            </w:r>
            <w:proofErr w:type="spellStart"/>
            <w:r w:rsidR="00000000">
              <w:rPr>
                <w:color w:val="000000"/>
                <w:sz w:val="17"/>
                <w:szCs w:val="17"/>
              </w:rPr>
              <w:t>Sukmana</w:t>
            </w:r>
            <w:proofErr w:type="spellEnd"/>
            <w:r w:rsidR="00000000">
              <w:rPr>
                <w:color w:val="000000"/>
                <w:sz w:val="17"/>
                <w:szCs w:val="17"/>
              </w:rPr>
              <w:t xml:space="preserve">, Y., &amp; </w:t>
            </w:r>
            <w:proofErr w:type="spellStart"/>
            <w:r w:rsidR="00000000">
              <w:rPr>
                <w:color w:val="000000"/>
                <w:sz w:val="17"/>
                <w:szCs w:val="17"/>
              </w:rPr>
              <w:t>Rosmansyah</w:t>
            </w:r>
            <w:proofErr w:type="spellEnd"/>
            <w:r w:rsidR="00000000">
              <w:rPr>
                <w:color w:val="000000"/>
                <w:sz w:val="17"/>
                <w:szCs w:val="17"/>
              </w:rPr>
              <w:t>, Y.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1A1F" w14:textId="77777777" w:rsidR="00B413F8" w:rsidRDefault="00000000">
            <w:r>
              <w:rPr>
                <w:color w:val="000000"/>
                <w:sz w:val="17"/>
                <w:szCs w:val="17"/>
              </w:rPr>
              <w:t>2024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6D0E8D" w14:textId="77777777" w:rsidR="00B413F8" w:rsidRDefault="00000000">
            <w:r>
              <w:rPr>
                <w:color w:val="000000"/>
                <w:sz w:val="17"/>
                <w:szCs w:val="17"/>
              </w:rPr>
              <w:t>Systematically review ML approaches used to predict university graduation (2018–2023)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3F14A" w14:textId="77777777" w:rsidR="00B413F8" w:rsidRDefault="00000000">
            <w:r>
              <w:rPr>
                <w:color w:val="000000"/>
                <w:sz w:val="17"/>
                <w:szCs w:val="17"/>
              </w:rPr>
              <w:t>PRISMA-style systematic literature review; meta-analysis across many primary studies (secondary data)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DC9B51" w14:textId="77777777" w:rsidR="00B413F8" w:rsidRDefault="00000000">
            <w:r>
              <w:rPr>
                <w:color w:val="000000"/>
                <w:sz w:val="17"/>
                <w:szCs w:val="17"/>
              </w:rPr>
              <w:t>Random Forest and SVM are the most-used algorithms; accuracy up to ~90% reported; existing SLRs under-cover algorithm diversity and dataset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F60CD" w14:textId="77777777" w:rsidR="00B413F8" w:rsidRDefault="00000000">
            <w:r>
              <w:rPr>
                <w:color w:val="000000"/>
                <w:sz w:val="17"/>
                <w:szCs w:val="17"/>
              </w:rPr>
              <w:t>Secondary/meta-analytic review only, no primary data; scope limited to graduation-prediction literature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13B03" w14:textId="77777777" w:rsidR="00B413F8" w:rsidRDefault="00000000">
            <w:r>
              <w:rPr>
                <w:color w:val="000000"/>
                <w:sz w:val="17"/>
                <w:szCs w:val="17"/>
              </w:rPr>
              <w:t>Confirms a field-wide gap: algorithm choice is well studied, but explainability and fairness are rarely discussed together</w:t>
            </w:r>
          </w:p>
        </w:tc>
      </w:tr>
      <w:tr w:rsidR="00B413F8" w14:paraId="4AFBB4B3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FF1A60" w14:textId="77777777" w:rsidR="00B413F8" w:rsidRDefault="00000000">
            <w:r>
              <w:rPr>
                <w:color w:val="000000"/>
                <w:sz w:val="17"/>
                <w:szCs w:val="17"/>
              </w:rPr>
              <w:t>Zhang, Y., &amp; Yang, S.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A3C185" w14:textId="77777777" w:rsidR="00B413F8" w:rsidRDefault="00000000">
            <w:r>
              <w:rPr>
                <w:color w:val="000000"/>
                <w:sz w:val="17"/>
                <w:szCs w:val="17"/>
              </w:rPr>
              <w:t>2022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3F3D8" w14:textId="77777777" w:rsidR="00B413F8" w:rsidRDefault="00000000">
            <w:r>
              <w:rPr>
                <w:color w:val="000000"/>
                <w:sz w:val="17"/>
                <w:szCs w:val="17"/>
              </w:rPr>
              <w:t>Automate teacher-performance appraisal for salary/promotion decisions using GA-tuned fuzzy evaluation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E67DB" w14:textId="77777777" w:rsidR="00B413F8" w:rsidRDefault="00000000">
            <w:r>
              <w:rPr>
                <w:color w:val="000000"/>
                <w:sz w:val="17"/>
                <w:szCs w:val="17"/>
              </w:rPr>
              <w:t>Genetic Algorithm (GA) search + fuzzy-logic evaluation across multiple measurement stages; teacher-appraisal case data derived from students' academic results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313D9" w14:textId="77777777" w:rsidR="00B413F8" w:rsidRDefault="00000000">
            <w:r>
              <w:rPr>
                <w:color w:val="000000"/>
                <w:sz w:val="17"/>
                <w:szCs w:val="17"/>
              </w:rPr>
              <w:t>GA-tuned fuzzy evaluation automates teacher ranking for salary/promotion decisions more systematically than manual scoring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D5D20" w14:textId="77777777" w:rsidR="00B413F8" w:rsidRDefault="00000000">
            <w:r>
              <w:rPr>
                <w:color w:val="000000"/>
                <w:sz w:val="17"/>
                <w:szCs w:val="17"/>
              </w:rPr>
              <w:t>Single case-data source (one institution/context); rule-based/GA-tuned, not data-driven ML; no fairness/appeal mechanism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A60AD" w14:textId="77777777" w:rsidR="00B413F8" w:rsidRDefault="00000000">
            <w:r>
              <w:rPr>
                <w:color w:val="000000"/>
                <w:sz w:val="17"/>
                <w:szCs w:val="17"/>
              </w:rPr>
              <w:t xml:space="preserve">Shows the same evaluation problem on the faculty side, reinforcing that human-in-the-loop governance (Pillar 4) is needed wherever an </w:t>
            </w:r>
            <w:proofErr w:type="gramStart"/>
            <w:r>
              <w:rPr>
                <w:color w:val="000000"/>
                <w:sz w:val="17"/>
                <w:szCs w:val="17"/>
              </w:rPr>
              <w:t>algorithm feeds</w:t>
            </w:r>
            <w:proofErr w:type="gramEnd"/>
            <w:r>
              <w:rPr>
                <w:color w:val="000000"/>
                <w:sz w:val="17"/>
                <w:szCs w:val="17"/>
              </w:rPr>
              <w:t xml:space="preserve"> </w:t>
            </w:r>
            <w:proofErr w:type="gramStart"/>
            <w:r>
              <w:rPr>
                <w:color w:val="000000"/>
                <w:sz w:val="17"/>
                <w:szCs w:val="17"/>
              </w:rPr>
              <w:t>personnel decisions</w:t>
            </w:r>
            <w:proofErr w:type="gramEnd"/>
          </w:p>
        </w:tc>
      </w:tr>
      <w:tr w:rsidR="00B413F8" w14:paraId="101E6628" w14:textId="77777777">
        <w:tblPrEx>
          <w:tblCellMar>
            <w:top w:w="0" w:type="dxa"/>
            <w:bottom w:w="0" w:type="dxa"/>
          </w:tblCellMar>
        </w:tblPrEx>
        <w:tc>
          <w:tcPr>
            <w:tcW w:w="1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0794" w14:textId="77777777" w:rsidR="00B413F8" w:rsidRDefault="00000000">
            <w:r>
              <w:rPr>
                <w:color w:val="000000"/>
                <w:sz w:val="17"/>
                <w:szCs w:val="17"/>
              </w:rPr>
              <w:t>Zhou, L.; Lu, R., Gao, G., &amp; Xiang, Y.</w:t>
            </w:r>
          </w:p>
        </w:tc>
        <w:tc>
          <w:tcPr>
            <w:tcW w:w="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F765B" w14:textId="77777777" w:rsidR="00B413F8" w:rsidRDefault="00000000">
            <w:r>
              <w:rPr>
                <w:color w:val="000000"/>
                <w:sz w:val="17"/>
                <w:szCs w:val="17"/>
              </w:rPr>
              <w:t>2022; 2024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C66BC" w14:textId="77777777" w:rsidR="00B413F8" w:rsidRDefault="00000000">
            <w:r>
              <w:rPr>
                <w:color w:val="000000"/>
                <w:sz w:val="17"/>
                <w:szCs w:val="17"/>
              </w:rPr>
              <w:t>Zhou: evaluate basic/elementary education informatization performance using an improved BP neural network. Lu et al.: develop a multi-criteria fuzzy framework for comprehensive quality evaluation of PE institutions</w:t>
            </w:r>
          </w:p>
        </w:tc>
        <w:tc>
          <w:tcPr>
            <w:tcW w:w="3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E26CC" w14:textId="77777777" w:rsidR="00B413F8" w:rsidRDefault="00000000">
            <w:r>
              <w:rPr>
                <w:color w:val="000000"/>
                <w:sz w:val="17"/>
                <w:szCs w:val="17"/>
              </w:rPr>
              <w:t xml:space="preserve">Zhou: improved Back-Propagation neural network with designed indicator set, institutional informatization indicator data, basic education level. Lu et al.: extended </w:t>
            </w:r>
            <w:proofErr w:type="spellStart"/>
            <w:r>
              <w:rPr>
                <w:color w:val="000000"/>
                <w:sz w:val="17"/>
                <w:szCs w:val="17"/>
              </w:rPr>
              <w:t>ExpTODIM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+ improved Grey Relational Analysis under hesitant triangular fuzzy sets, expert-elicited weights, sports colleges in China</w:t>
            </w:r>
          </w:p>
        </w:tc>
        <w:tc>
          <w:tcPr>
            <w:tcW w:w="2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31430" w14:textId="77777777" w:rsidR="00B413F8" w:rsidRDefault="00000000">
            <w:r>
              <w:rPr>
                <w:color w:val="000000"/>
                <w:sz w:val="17"/>
                <w:szCs w:val="17"/>
              </w:rPr>
              <w:t>Zhou: trained/actual/expected values differ by only 0.1–0.5 on average, confirming BP-algorithm feasibility. Lu et al.: multi-criteria fuzzy MCDM captures holistic/soft-skill quality better than single-score grading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A3221" w14:textId="77777777" w:rsidR="00B413F8" w:rsidRDefault="00000000">
            <w:r>
              <w:rPr>
                <w:color w:val="000000"/>
                <w:sz w:val="17"/>
                <w:szCs w:val="17"/>
              </w:rPr>
              <w:t>Zhou: single-level scope, pure black-box evaluator with no explanation mechanism. Lu et al.: expert-elicited weights, not empirical/data-driven; scope limited to PE institutions in China; not machine-learned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FAC6" w14:textId="77777777" w:rsidR="00B413F8" w:rsidRDefault="00000000">
            <w:r>
              <w:rPr>
                <w:color w:val="000000"/>
                <w:sz w:val="17"/>
                <w:szCs w:val="17"/>
              </w:rPr>
              <w:t>Both show the value of moving beyond a single score, but neither is machine-learned in a way that needs XAI, and neither has bias measurement across subgroups or a governance/appeal layer</w:t>
            </w:r>
          </w:p>
        </w:tc>
      </w:tr>
    </w:tbl>
    <w:p w14:paraId="7941D97B" w14:textId="77777777" w:rsidR="003837D4" w:rsidRDefault="003837D4"/>
    <w:sectPr w:rsidR="003837D4">
      <w:pgSz w:w="16838" w:h="11906" w:orient="landscape"/>
      <w:pgMar w:top="700" w:right="720" w:bottom="70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F6159B"/>
    <w:multiLevelType w:val="hybridMultilevel"/>
    <w:tmpl w:val="1540BE84"/>
    <w:lvl w:ilvl="0" w:tplc="581EDF8A">
      <w:start w:val="1"/>
      <w:numFmt w:val="bullet"/>
      <w:lvlText w:val="●"/>
      <w:lvlJc w:val="left"/>
      <w:pPr>
        <w:ind w:left="720" w:hanging="360"/>
      </w:pPr>
    </w:lvl>
    <w:lvl w:ilvl="1" w:tplc="48601482">
      <w:start w:val="1"/>
      <w:numFmt w:val="bullet"/>
      <w:lvlText w:val="○"/>
      <w:lvlJc w:val="left"/>
      <w:pPr>
        <w:ind w:left="1440" w:hanging="360"/>
      </w:pPr>
    </w:lvl>
    <w:lvl w:ilvl="2" w:tplc="3ED836BC">
      <w:start w:val="1"/>
      <w:numFmt w:val="bullet"/>
      <w:lvlText w:val="■"/>
      <w:lvlJc w:val="left"/>
      <w:pPr>
        <w:ind w:left="2160" w:hanging="360"/>
      </w:pPr>
    </w:lvl>
    <w:lvl w:ilvl="3" w:tplc="390A9AB8">
      <w:start w:val="1"/>
      <w:numFmt w:val="bullet"/>
      <w:lvlText w:val="●"/>
      <w:lvlJc w:val="left"/>
      <w:pPr>
        <w:ind w:left="2880" w:hanging="360"/>
      </w:pPr>
    </w:lvl>
    <w:lvl w:ilvl="4" w:tplc="166A4F86">
      <w:start w:val="1"/>
      <w:numFmt w:val="bullet"/>
      <w:lvlText w:val="○"/>
      <w:lvlJc w:val="left"/>
      <w:pPr>
        <w:ind w:left="3600" w:hanging="360"/>
      </w:pPr>
    </w:lvl>
    <w:lvl w:ilvl="5" w:tplc="5E02D4BA">
      <w:start w:val="1"/>
      <w:numFmt w:val="bullet"/>
      <w:lvlText w:val="■"/>
      <w:lvlJc w:val="left"/>
      <w:pPr>
        <w:ind w:left="4320" w:hanging="360"/>
      </w:pPr>
    </w:lvl>
    <w:lvl w:ilvl="6" w:tplc="731EC768">
      <w:start w:val="1"/>
      <w:numFmt w:val="bullet"/>
      <w:lvlText w:val="●"/>
      <w:lvlJc w:val="left"/>
      <w:pPr>
        <w:ind w:left="5040" w:hanging="360"/>
      </w:pPr>
    </w:lvl>
    <w:lvl w:ilvl="7" w:tplc="80108A60">
      <w:start w:val="1"/>
      <w:numFmt w:val="bullet"/>
      <w:lvlText w:val="●"/>
      <w:lvlJc w:val="left"/>
      <w:pPr>
        <w:ind w:left="5760" w:hanging="360"/>
      </w:pPr>
    </w:lvl>
    <w:lvl w:ilvl="8" w:tplc="1558526A">
      <w:start w:val="1"/>
      <w:numFmt w:val="bullet"/>
      <w:lvlText w:val="●"/>
      <w:lvlJc w:val="left"/>
      <w:pPr>
        <w:ind w:left="6480" w:hanging="360"/>
      </w:pPr>
    </w:lvl>
  </w:abstractNum>
  <w:num w:numId="1" w16cid:durableId="21037168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3F8"/>
    <w:rsid w:val="00190532"/>
    <w:rsid w:val="003837D4"/>
    <w:rsid w:val="00B413F8"/>
    <w:rsid w:val="00B72959"/>
    <w:rsid w:val="00D11DE9"/>
    <w:rsid w:val="00D5404D"/>
    <w:rsid w:val="00DA08FE"/>
    <w:rsid w:val="00EA6634"/>
    <w:rsid w:val="00F2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09B70"/>
  <w15:docId w15:val="{5D7A5B5F-70F4-482F-8215-F41DB1D9E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867</TotalTime>
  <Pages>2</Pages>
  <Words>1057</Words>
  <Characters>6026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sahiti chhanam</cp:lastModifiedBy>
  <cp:revision>4</cp:revision>
  <dcterms:created xsi:type="dcterms:W3CDTF">2026-08-10T03:02:00Z</dcterms:created>
  <dcterms:modified xsi:type="dcterms:W3CDTF">2026-08-10T17:34:00Z</dcterms:modified>
</cp:coreProperties>
</file>