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Jaackle Infotech Solutions Private Limited</w:t>
      </w:r>
    </w:p>
    <w:p>
      <w:pPr>
        <w:spacing w:after="20"/>
        <w:jc w:val="center"/>
      </w:pPr>
      <w:r>
        <w:rPr>
          <w:color w:val="666666"/>
          <w:sz w:val="17"/>
          <w:szCs w:val="17"/>
        </w:rPr>
        <w:t xml:space="preserve">803, Ratan Castle Apartment, Tilak Nagar, Kanpur - 208002, Uttar Pradesh, India</w:t>
      </w:r>
    </w:p>
    <w:p>
      <w:pPr>
        <w:spacing w:after="0"/>
        <w:jc w:val="center"/>
      </w:pPr>
      <w:r>
        <w:rPr>
          <w:color w:val="888888"/>
          <w:sz w:val="16"/>
          <w:szCs w:val="16"/>
        </w:rPr>
        <w:t xml:space="preserve">GSTIN: 09AAFCJ6822K1Z7  |  PAN: AAFCJ6822K</w:t>
      </w:r>
    </w:p>
    <w:p>
      <w:pPr>
        <w:pBdr>
          <w:bottom w:val="double" w:color="C9952B" w:sz="6" w:space="6"/>
        </w:pBdr>
        <w:spacing w:after="200" w:before="1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none" w:sz="0"/>
              <w:left w:val="none" w:sz="0"/>
              <w:bottom w:val="none" w:sz="0"/>
              <w:right w:val="none" w:sz="0"/>
            </w:tcBorders>
            <w:shd w:fill="1A1A1A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P  R  O  F  O  R  M  A     I  N  V  O  I  C  E</w:t>
            </w:r>
          </w:p>
          <w:p>
            <w:pPr>
              <w:spacing w:before="120"/>
              <w:jc w:val="center"/>
            </w:pPr>
            <w:r>
              <w:rPr>
                <w:color w:val="C9952B"/>
                <w:sz w:val="17"/>
                <w:szCs w:val="17"/>
              </w:rPr>
              <w:t xml:space="preserve">Invoice No: PI-025    |    Date: 15 July 2026    |    Valid Until: 30 Days</w:t>
            </w:r>
          </w:p>
        </w:tc>
      </w:tr>
    </w:tbl>
    <w:p>
      <w:pPr>
        <w:spacing w:after="80" w:before="320"/>
      </w:pPr>
      <w:r>
        <w:rPr>
          <w:b/>
          <w:bCs/>
          <w:color w:val="C9952B"/>
          <w:sz w:val="16"/>
          <w:szCs w:val="16"/>
        </w:rPr>
        <w:t xml:space="preserve">BILL TO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Pr. ADG (Principal Additional Director General)</w:t>
      </w:r>
    </w:p>
    <w:p>
      <w:pPr>
        <w:spacing w:after="20"/>
        <w:ind w:left="200"/>
      </w:pPr>
      <w:r>
        <w:rPr>
          <w:color w:val="444444"/>
          <w:sz w:val="20"/>
          <w:szCs w:val="20"/>
        </w:rPr>
        <w:t xml:space="preserve">Directorate General of GST Intelligence (DGGI)</w:t>
      </w:r>
    </w:p>
    <w:p>
      <w:pPr>
        <w:spacing w:after="20"/>
        <w:ind w:left="200"/>
      </w:pPr>
      <w:r>
        <w:rPr>
          <w:color w:val="444444"/>
          <w:sz w:val="20"/>
          <w:szCs w:val="20"/>
        </w:rPr>
        <w:t xml:space="preserve">Mumbai Zonal Unit (MZU)</w:t>
      </w:r>
    </w:p>
    <w:p>
      <w:pPr>
        <w:spacing w:after="0"/>
        <w:ind w:left="200"/>
      </w:pPr>
      <w:r>
        <w:rPr>
          <w:color w:val="444444"/>
          <w:sz w:val="20"/>
          <w:szCs w:val="20"/>
        </w:rPr>
        <w:t xml:space="preserve">Mumbai, Maharashtra</w:t>
      </w:r>
    </w:p>
    <w:p>
      <w:pPr>
        <w:spacing w:after="120" w:before="320"/>
      </w:pPr>
      <w:r>
        <w:rPr>
          <w:b/>
          <w:bCs/>
          <w:color w:val="C9952B"/>
          <w:sz w:val="16"/>
          <w:szCs w:val="16"/>
        </w:rPr>
        <w:t xml:space="preserve">PARTICULARS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0"/>
        <w:gridCol w:w="960"/>
        <w:gridCol w:w="1520"/>
        <w:gridCol w:w="1520"/>
      </w:tblGrid>
      <w:tr>
        <w:tc>
          <w:tcPr>
            <w:tcW w:type="dxa" w:w="5840"/>
            <w:tcBorders>
              <w:top w:val="none" w:sz="0"/>
              <w:left w:val="single" w:color="C9952B" w:sz="12"/>
              <w:bottom w:val="single" w:color="C9952B" w:sz="4"/>
              <w:right w:val="none" w:sz="0"/>
            </w:tcBorders>
            <w:shd w:fill="FDF6E8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555555"/>
                <w:sz w:val="17"/>
                <w:szCs w:val="17"/>
              </w:rPr>
              <w:t xml:space="preserve">Service Description</w:t>
            </w:r>
          </w:p>
        </w:tc>
        <w:tc>
          <w:tcPr>
            <w:tcW w:type="dxa" w:w="960"/>
            <w:tcBorders>
              <w:top w:val="none" w:sz="0"/>
              <w:left w:val="none" w:sz="0"/>
              <w:bottom w:val="single" w:color="C9952B" w:sz="4"/>
              <w:right w:val="none" w:sz="0"/>
            </w:tcBorders>
            <w:shd w:fill="FDF6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Qty</w:t>
            </w:r>
          </w:p>
        </w:tc>
        <w:tc>
          <w:tcPr>
            <w:tcW w:type="dxa" w:w="1520"/>
            <w:tcBorders>
              <w:top w:val="none" w:sz="0"/>
              <w:left w:val="none" w:sz="0"/>
              <w:bottom w:val="single" w:color="C9952B" w:sz="4"/>
              <w:right w:val="none" w:sz="0"/>
            </w:tcBorders>
            <w:shd w:fill="FDF6E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Unit Price (₹)</w:t>
            </w:r>
          </w:p>
        </w:tc>
        <w:tc>
          <w:tcPr>
            <w:tcW w:type="dxa" w:w="1520"/>
            <w:tcBorders>
              <w:top w:val="none" w:sz="0"/>
              <w:left w:val="none" w:sz="0"/>
              <w:bottom w:val="single" w:color="C9952B" w:sz="4"/>
              <w:right w:val="none" w:sz="0"/>
            </w:tcBorders>
            <w:shd w:fill="FDF6E8" w:val="clear"/>
            <w:tcMar>
              <w:top w:type="dxa" w:w="100"/>
              <w:left w:type="dxa" w:w="80"/>
              <w:bottom w:type="dxa" w:w="10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Amount (₹)</w:t>
            </w:r>
          </w:p>
        </w:tc>
      </w:tr>
      <w:tr>
        <w:tc>
          <w:tcPr>
            <w:tcW w:type="dxa" w:w="5840"/>
            <w:tcBorders>
              <w:top w:val="none" w:sz="0"/>
              <w:left w:val="single" w:color="C9952B" w:sz="12"/>
              <w:bottom w:val="single" w:color="EEEEEE" w:sz="2"/>
              <w:right w:val="none" w:sz="0"/>
            </w:tcBorders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Custom Web-Based Case Monitoring &amp; Investigation Tracking Platform for Directorate General of GST Intelligence, Mumbai Zonal Unit</w:t>
            </w:r>
          </w:p>
        </w:tc>
        <w:tc>
          <w:tcPr>
            <w:tcW w:type="dxa" w:w="960"/>
            <w:tcBorders>
              <w:top w:val="none" w:sz="0"/>
              <w:left w:val="none" w:sz="0"/>
              <w:bottom w:val="single" w:color="EEEEEE" w:sz="2"/>
              <w:right w:val="none" w:sz="0"/>
            </w:tcBorders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20"/>
            <w:tcBorders>
              <w:top w:val="none" w:sz="0"/>
              <w:left w:val="none" w:sz="0"/>
              <w:bottom w:val="single" w:color="EEEEEE" w:sz="2"/>
              <w:right w:val="none" w:sz="0"/>
            </w:tcBorders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4,15,254</w:t>
            </w:r>
          </w:p>
        </w:tc>
        <w:tc>
          <w:tcPr>
            <w:tcW w:type="dxa" w:w="1520"/>
            <w:tcBorders>
              <w:top w:val="none" w:sz="0"/>
              <w:left w:val="none" w:sz="0"/>
              <w:bottom w:val="single" w:color="EEEEEE" w:sz="2"/>
              <w:right w:val="none" w:sz="0"/>
            </w:tcBorders>
            <w:tcMar>
              <w:top w:type="dxa" w:w="140"/>
              <w:left w:type="dxa" w:w="80"/>
              <w:bottom w:type="dxa" w:w="140"/>
              <w:right w:type="dxa" w:w="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4,15,254</w:t>
            </w:r>
          </w:p>
        </w:tc>
      </w:tr>
    </w:tbl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840"/>
      </w:tblGrid>
      <w:tr>
        <w:tc>
          <w:tcPr>
            <w:tcW w:type="dxa" w:w="5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  <w:tc>
          <w:tcPr>
            <w:tcW w:type="dxa" w:w="48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40"/>
              <w:gridCol w:w="2200"/>
            </w:tblGrid>
            <w:tr>
              <w:tc>
                <w:tcPr>
                  <w:tcW w:type="dxa" w:w="264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r>
                    <w:rPr>
                      <w:color w:val="666666"/>
                      <w:sz w:val="18"/>
                      <w:szCs w:val="18"/>
                    </w:rPr>
                    <w:t xml:space="preserve">Subtotal</w:t>
                  </w:r>
                </w:p>
              </w:tc>
              <w:tc>
                <w:tcPr>
                  <w:tcW w:type="dxa" w:w="22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sz w:val="18"/>
                      <w:szCs w:val="18"/>
                    </w:rPr>
                    <w:t xml:space="preserve">₹ 4,15,254</w:t>
                  </w:r>
                </w:p>
              </w:tc>
            </w:tr>
            <w:tr>
              <w:tc>
                <w:tcPr>
                  <w:tcW w:type="dxa" w:w="2640"/>
                  <w:tcBorders>
                    <w:top w:val="none" w:sz="0"/>
                    <w:left w:val="none" w:sz="0"/>
                    <w:bottom w:val="single" w:color="EEEEEE" w:sz="2"/>
                    <w:right w:val="none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r>
                    <w:rPr>
                      <w:color w:val="666666"/>
                      <w:sz w:val="18"/>
                      <w:szCs w:val="18"/>
                    </w:rPr>
                    <w:t xml:space="preserve">IGST @ 18%</w:t>
                  </w:r>
                </w:p>
              </w:tc>
              <w:tc>
                <w:tcPr>
                  <w:tcW w:type="dxa" w:w="2200"/>
                  <w:tcBorders>
                    <w:top w:val="none" w:sz="0"/>
                    <w:left w:val="none" w:sz="0"/>
                    <w:bottom w:val="single" w:color="EEEEEE" w:sz="2"/>
                    <w:right w:val="none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sz w:val="18"/>
                      <w:szCs w:val="18"/>
                    </w:rPr>
                    <w:t xml:space="preserve">₹ 74,746</w:t>
                  </w:r>
                </w:p>
              </w:tc>
            </w:tr>
            <w:tr>
              <w:tc>
                <w:tcPr>
                  <w:tcW w:type="dxa" w:w="264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C9952B" w:val="clear"/>
                  <w:tcMar>
                    <w:top w:type="dxa" w:w="120"/>
                    <w:left w:type="dxa" w:w="120"/>
                    <w:bottom w:type="dxa" w:w="120"/>
                    <w:right w:type="dxa" w:w="80"/>
                  </w:tcMar>
                </w:tcPr>
                <w:p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GRAND TOTAL</w:t>
                  </w:r>
                </w:p>
              </w:tc>
              <w:tc>
                <w:tcPr>
                  <w:tcW w:type="dxa" w:w="22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C9952B" w:val="clear"/>
                  <w:tcMar>
                    <w:top w:type="dxa" w:w="120"/>
                    <w:left w:type="dxa" w:w="80"/>
                    <w:bottom w:type="dxa" w:w="12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 xml:space="preserve">₹ 4,90,000</w:t>
                  </w:r>
                </w:p>
              </w:tc>
            </w:tr>
          </w:tbl>
          <w:p/>
        </w:tc>
      </w:tr>
    </w:tbl>
    <w:p>
      <w:pPr>
        <w:spacing w:after="300" w:before="100"/>
        <w:jc w:val="right"/>
      </w:pPr>
      <w:r>
        <w:rPr>
          <w:i/>
          <w:iCs/>
          <w:color w:val="999999"/>
          <w:sz w:val="16"/>
          <w:szCs w:val="16"/>
        </w:rPr>
        <w:t xml:space="preserve">Rupees Four Lakh Ninety Thousand Only</w:t>
      </w:r>
    </w:p>
    <w:p>
      <w:pPr>
        <w:pBdr>
          <w:bottom w:val="double" w:color="C9952B" w:sz="6" w:space="4"/>
        </w:pBdr>
        <w:spacing w:after="24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340"/>
      </w:tblGrid>
      <w:tr>
        <w:tc>
          <w:tcPr>
            <w:tcW w:type="dxa" w:w="5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9952B"/>
                <w:sz w:val="16"/>
                <w:szCs w:val="16"/>
              </w:rPr>
              <w:t xml:space="preserve">TERMS &amp; DECLARATION</w:t>
            </w:r>
          </w:p>
          <w:p>
            <w:pPr>
              <w:spacing w:after="60"/>
            </w:pPr>
            <w:r>
              <w:rPr>
                <w:color w:val="555555"/>
                <w:sz w:val="17"/>
                <w:szCs w:val="17"/>
              </w:rPr>
              <w:t xml:space="preserve">—  This is a Proforma Invoice and not a Tax Invoice.</w:t>
            </w:r>
          </w:p>
          <w:p>
            <w:pPr>
              <w:spacing w:after="60"/>
            </w:pPr>
            <w:r>
              <w:rPr>
                <w:color w:val="555555"/>
                <w:sz w:val="17"/>
                <w:szCs w:val="17"/>
              </w:rPr>
              <w:t xml:space="preserve">—  Issued for advance payment / order approval purpose only.</w:t>
            </w:r>
          </w:p>
          <w:p>
            <w:pPr>
              <w:spacing w:after="60"/>
            </w:pPr>
            <w:r>
              <w:rPr>
                <w:color w:val="555555"/>
                <w:sz w:val="17"/>
                <w:szCs w:val="17"/>
              </w:rPr>
              <w:t xml:space="preserve">—  Payment to be made within 15 days from the date of invoice.</w:t>
            </w:r>
          </w:p>
          <w:p>
            <w:pPr>
              <w:spacing w:after="60"/>
            </w:pPr>
            <w:r>
              <w:rPr>
                <w:color w:val="555555"/>
                <w:sz w:val="17"/>
                <w:szCs w:val="17"/>
              </w:rPr>
              <w:t xml:space="preserve">—  GST will be charged as applicable at the time of final invoice.</w:t>
            </w:r>
          </w:p>
        </w:tc>
        <w:tc>
          <w:tcPr>
            <w:tcW w:type="dxa" w:w="43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100"/>
            </w:pPr>
            <w:r>
              <w:rPr>
                <w:b/>
                <w:bCs/>
                <w:color w:val="C9952B"/>
                <w:sz w:val="16"/>
                <w:szCs w:val="16"/>
              </w:rPr>
              <w:t xml:space="preserve">AUTHORISED SIGNATORY</w:t>
            </w:r>
          </w:p>
          <w:p>
            <w:pPr>
              <w:spacing w:after="60"/>
            </w:pPr>
            <w:r>
              <w:rPr>
                <w:color w:val="666666"/>
                <w:sz w:val="17"/>
                <w:szCs w:val="17"/>
              </w:rPr>
              <w:t xml:space="preserve">For Jaackle Infotech Solutions Private Limited</w:t>
            </w:r>
          </w:p>
          <w:p>
            <w:pPr>
              <w:pBdr>
                <w:top w:val="single" w:color="C9952B" w:sz="2" w:space="4"/>
              </w:pBdr>
              <w:spacing w:before="48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Preeti Gupta</w:t>
            </w:r>
          </w:p>
          <w:p>
            <w:r>
              <w:rPr>
                <w:color w:val="666666"/>
                <w:sz w:val="16"/>
                <w:szCs w:val="16"/>
              </w:rPr>
              <w:t xml:space="preserve">Director  |  15 July 2026</w:t>
            </w:r>
          </w:p>
        </w:tc>
      </w:tr>
    </w:tbl>
    <w:sectPr>
      <w:pgSz w:w="12240" w:h="15840" w:orient="portrait"/>
      <w:pgMar w:top="800" w:right="1200" w:bottom="8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2026-07-24T11:43:53.115Z</dcterms:created>
  <dcterms:modified xsi:type="dcterms:W3CDTF">2026-07-24T11:43:53.115Z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