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20"/>
        <w:gridCol w:w="4200"/>
      </w:tblGrid>
      <w:tr>
        <w:tc>
          <w:tcPr>
            <w:tcW w:type="dxa" w:w="6120"/>
            <w:tcBorders>
              <w:top w:val="none" w:sz="0"/>
              <w:left w:val="none" w:sz="0"/>
              <w:bottom w:val="none" w:sz="0"/>
              <w:right w:val="none" w:sz="0"/>
            </w:tcBorders>
            <w:shd w:fill="0D9488" w:val="clear"/>
            <w:tcMar>
              <w:top w:type="dxa" w:w="240"/>
              <w:left w:type="dxa" w:w="300"/>
              <w:bottom w:type="dxa" w:w="240"/>
              <w:right w:type="dxa" w:w="2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Tendigiflex Infotech Pvt Ltd</w:t>
            </w:r>
          </w:p>
          <w:p>
            <w:pPr>
              <w:spacing w:after="40"/>
            </w:pPr>
            <w:r>
              <w:rPr>
                <w:color w:val="CCF5F2"/>
                <w:sz w:val="17"/>
                <w:szCs w:val="17"/>
              </w:rPr>
              <w:t xml:space="preserve">127/115 "S" Block, Juhi, Kanpur - 208014</w:t>
            </w:r>
          </w:p>
          <w:p>
            <w:pPr>
              <w:spacing w:after="40"/>
            </w:pPr>
            <w:r>
              <w:rPr>
                <w:color w:val="CCF5F2"/>
                <w:sz w:val="17"/>
                <w:szCs w:val="17"/>
              </w:rPr>
              <w:t xml:space="preserve">Uttar Pradesh, India</w:t>
            </w:r>
          </w:p>
          <w:p>
            <w:r>
              <w:rPr>
                <w:color w:val="99E8E2"/>
                <w:sz w:val="15"/>
                <w:szCs w:val="15"/>
              </w:rPr>
              <w:t xml:space="preserve">GSTIN: 09AALCT0902G1ZF  |  PAN: AALCT0902G</w:t>
            </w:r>
          </w:p>
        </w:tc>
        <w:tc>
          <w:tcPr>
            <w:tcW w:type="dxa" w:w="4200"/>
            <w:tcBorders>
              <w:top w:val="none" w:sz="0"/>
              <w:left w:val="single" w:color="0D9488" w:sz="4"/>
              <w:bottom w:val="none" w:sz="0"/>
              <w:right w:val="none" w:sz="0"/>
            </w:tcBorders>
            <w:shd w:fill="E6F7F6" w:val="clear"/>
            <w:tcMar>
              <w:top w:type="dxa" w:w="200"/>
              <w:left w:type="dxa" w:w="240"/>
              <w:bottom w:type="dxa" w:w="20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0D9488"/>
                <w:sz w:val="22"/>
                <w:szCs w:val="22"/>
              </w:rPr>
              <w:t xml:space="preserve">PROFORMA INVOICE</w:t>
            </w:r>
          </w:p>
          <w:p>
            <w:pPr>
              <w:spacing w:after="60"/>
            </w:pPr>
            <w:r>
              <w:rPr>
                <w:color w:val="666666"/>
                <w:sz w:val="17"/>
                <w:szCs w:val="17"/>
              </w:rPr>
              <w:t xml:space="preserve">No:  </w:t>
            </w:r>
            <w:r>
              <w:rPr>
                <w:b/>
                <w:bCs/>
                <w:color w:val="1A1A1A"/>
                <w:sz w:val="17"/>
                <w:szCs w:val="17"/>
              </w:rPr>
              <w:t xml:space="preserve">TI-PI-2026-004</w:t>
            </w:r>
          </w:p>
          <w:p>
            <w:pPr>
              <w:spacing w:after="60"/>
            </w:pPr>
            <w:r>
              <w:rPr>
                <w:color w:val="666666"/>
                <w:sz w:val="17"/>
                <w:szCs w:val="17"/>
              </w:rPr>
              <w:t xml:space="preserve">Date:  </w:t>
            </w:r>
            <w:r>
              <w:rPr>
                <w:b/>
                <w:bCs/>
                <w:sz w:val="17"/>
                <w:szCs w:val="17"/>
              </w:rPr>
              <w:t xml:space="preserve">16 July 2026</w:t>
            </w:r>
          </w:p>
          <w:p>
            <w:r>
              <w:rPr>
                <w:color w:val="666666"/>
                <w:sz w:val="17"/>
                <w:szCs w:val="17"/>
              </w:rPr>
              <w:t xml:space="preserve">Valid:  </w:t>
            </w:r>
            <w:r>
              <w:rPr>
                <w:b/>
                <w:bCs/>
                <w:sz w:val="17"/>
                <w:szCs w:val="17"/>
              </w:rPr>
              <w:t xml:space="preserve">30 Days</w:t>
            </w:r>
          </w:p>
        </w:tc>
      </w:tr>
    </w:tbl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20"/>
      </w:tblGrid>
      <w:tr>
        <w:tc>
          <w:tcPr>
            <w:tcW w:type="dxa" w:w="10320"/>
            <w:tcBorders>
              <w:top w:val="none" w:sz="0"/>
              <w:left w:val="single" w:color="0D9488" w:sz="18"/>
              <w:bottom w:val="single" w:color="0D9488" w:sz="4"/>
              <w:right w:val="none" w:sz="0"/>
            </w:tcBorders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0D9488"/>
                <w:sz w:val="16"/>
                <w:szCs w:val="16"/>
              </w:rPr>
              <w:t xml:space="preserve">BILLED TO:  </w:t>
            </w:r>
            <w:r>
              <w:rPr>
                <w:b/>
                <w:bCs/>
                <w:sz w:val="20"/>
                <w:szCs w:val="20"/>
              </w:rPr>
              <w:t xml:space="preserve">Pr. ADG (Principal Additional Director General)</w:t>
            </w:r>
            <w:r>
              <w:rPr>
                <w:color w:val="444444"/>
                <w:sz w:val="18"/>
                <w:szCs w:val="18"/>
              </w:rPr>
              <w:t xml:space="preserve">   —   Directorate General of GST Intelligence (DGGI), Mumbai Zonal Unit (MZU), Mumbai, Maharashtra</w:t>
            </w:r>
          </w:p>
        </w:tc>
      </w:tr>
    </w:tbl>
    <w:p>
      <w:pPr>
        <w:spacing w:after="100" w:before="300"/>
      </w:pPr>
      <w:r>
        <w:rPr>
          <w:b/>
          <w:bCs/>
          <w:color w:val="0D9488"/>
          <w:sz w:val="16"/>
          <w:szCs w:val="16"/>
        </w:rPr>
        <w:t xml:space="preserve">SCOPE OF WORK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20"/>
        <w:gridCol w:w="880"/>
        <w:gridCol w:w="1460"/>
        <w:gridCol w:w="1460"/>
      </w:tblGrid>
      <w:tr>
        <w:tc>
          <w:tcPr>
            <w:tcW w:type="dxa" w:w="6520"/>
            <w:tcBorders>
              <w:top w:val="none" w:sz="0"/>
              <w:left w:val="none" w:sz="0"/>
              <w:bottom w:val="none" w:sz="0"/>
              <w:right w:val="none" w:sz="0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 of Service</w:t>
            </w:r>
          </w:p>
        </w:tc>
        <w:tc>
          <w:tcPr>
            <w:tcW w:type="dxa" w:w="880"/>
            <w:tcBorders>
              <w:top w:val="none" w:sz="0"/>
              <w:left w:val="none" w:sz="0"/>
              <w:bottom w:val="none" w:sz="0"/>
              <w:right w:val="none" w:sz="0"/>
            </w:tcBorders>
            <w:shd w:fill="0D948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1460"/>
            <w:tcBorders>
              <w:top w:val="none" w:sz="0"/>
              <w:left w:val="none" w:sz="0"/>
              <w:bottom w:val="none" w:sz="0"/>
              <w:right w:val="none" w:sz="0"/>
            </w:tcBorders>
            <w:shd w:fill="0D948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Rate (₹)</w:t>
            </w:r>
          </w:p>
        </w:tc>
        <w:tc>
          <w:tcPr>
            <w:tcW w:type="dxa" w:w="1460"/>
            <w:tcBorders>
              <w:top w:val="none" w:sz="0"/>
              <w:left w:val="none" w:sz="0"/>
              <w:bottom w:val="none" w:sz="0"/>
              <w:right w:val="none" w:sz="0"/>
            </w:tcBorders>
            <w:shd w:fill="0D9488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Amount (₹)</w:t>
            </w:r>
          </w:p>
        </w:tc>
      </w:tr>
      <w:tr>
        <w:tc>
          <w:tcPr>
            <w:tcW w:type="dxa" w:w="6520"/>
            <w:tcBorders>
              <w:top w:val="none" w:sz="0"/>
              <w:left w:val="none" w:sz="0"/>
              <w:bottom w:val="none" w:sz="0"/>
              <w:right w:val="none" w:sz="0"/>
            </w:tcBorders>
            <w:shd w:fill="E6F7F6" w:val="clear"/>
            <w:tcMar>
              <w:top w:type="dxa" w:w="160"/>
              <w:left w:type="dxa" w:w="160"/>
              <w:bottom w:type="dxa" w:w="1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End-to-End Digital Case Lifecycle Management Solution for DGGI MZU (Mumbai Zonal Unit)</w:t>
            </w:r>
          </w:p>
        </w:tc>
        <w:tc>
          <w:tcPr>
            <w:tcW w:type="dxa" w:w="880"/>
            <w:tcBorders>
              <w:top w:val="none" w:sz="0"/>
              <w:left w:val="none" w:sz="0"/>
              <w:bottom w:val="none" w:sz="0"/>
              <w:right w:val="none" w:sz="0"/>
            </w:tcBorders>
            <w:shd w:fill="E6F7F6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60"/>
            <w:tcBorders>
              <w:top w:val="none" w:sz="0"/>
              <w:left w:val="none" w:sz="0"/>
              <w:bottom w:val="none" w:sz="0"/>
              <w:right w:val="none" w:sz="0"/>
            </w:tcBorders>
            <w:shd w:fill="E6F7F6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4,19,492</w:t>
            </w:r>
          </w:p>
        </w:tc>
        <w:tc>
          <w:tcPr>
            <w:tcW w:type="dxa" w:w="1460"/>
            <w:tcBorders>
              <w:top w:val="none" w:sz="0"/>
              <w:left w:val="none" w:sz="0"/>
              <w:bottom w:val="none" w:sz="0"/>
              <w:right w:val="none" w:sz="0"/>
            </w:tcBorders>
            <w:shd w:fill="E6F7F6" w:val="clear"/>
            <w:tcMar>
              <w:top w:type="dxa" w:w="160"/>
              <w:left w:type="dxa" w:w="80"/>
              <w:bottom w:type="dxa" w:w="160"/>
              <w:right w:type="dxa" w:w="16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4,19,492</w:t>
            </w:r>
          </w:p>
        </w:tc>
      </w:tr>
    </w:tbl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0"/>
        <w:gridCol w:w="3440"/>
        <w:gridCol w:w="3440"/>
      </w:tblGrid>
      <w:tr>
        <w:tc>
          <w:tcPr>
            <w:tcW w:type="dxa" w:w="344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80"/>
            </w:tcMar>
          </w:tcPr>
          <w:p>
            <w:r>
              <w:rPr>
                <w:color w:val="666666"/>
                <w:sz w:val="17"/>
                <w:szCs w:val="17"/>
              </w:rPr>
              <w:t xml:space="preserve">Subtotal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₹ 4,19,492</w:t>
            </w:r>
          </w:p>
        </w:tc>
        <w:tc>
          <w:tcPr>
            <w:tcW w:type="dxa" w:w="3440"/>
            <w:tcBorders>
              <w:top w:val="none" w:sz="0"/>
              <w:left w:val="single" w:color="99E0DA" w:sz="2"/>
              <w:bottom w:val="none" w:sz="0"/>
              <w:right w:val="single" w:color="99E0DA" w:sz="2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80"/>
            </w:tcMar>
          </w:tcPr>
          <w:p>
            <w:r>
              <w:rPr>
                <w:color w:val="666666"/>
                <w:sz w:val="17"/>
                <w:szCs w:val="17"/>
              </w:rPr>
              <w:t xml:space="preserve">IGST @ 18%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₹ 75,508</w:t>
            </w:r>
          </w:p>
        </w:tc>
        <w:tc>
          <w:tcPr>
            <w:tcW w:type="dxa" w:w="3440"/>
            <w:tcBorders>
              <w:top w:val="none" w:sz="0"/>
              <w:left w:val="none" w:sz="0"/>
              <w:bottom w:val="none" w:sz="0"/>
              <w:right w:val="none" w:sz="0"/>
            </w:tcBorders>
            <w:shd w:fill="0D9488" w:val="clear"/>
            <w:tcMar>
              <w:top w:type="dxa" w:w="140"/>
              <w:left w:type="dxa" w:w="200"/>
              <w:bottom w:type="dxa" w:w="140"/>
              <w:right w:type="dxa" w:w="80"/>
            </w:tcMar>
          </w:tcPr>
          <w:p>
            <w:r>
              <w:rPr>
                <w:color w:val="CCF5F2"/>
                <w:sz w:val="17"/>
                <w:szCs w:val="17"/>
              </w:rPr>
              <w:t xml:space="preserve">Grand Total</w:t>
            </w:r>
          </w:p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₹ 4,95,000</w:t>
            </w:r>
          </w:p>
        </w:tc>
      </w:tr>
    </w:tbl>
    <w:p>
      <w:pPr>
        <w:spacing w:after="300" w:before="80"/>
        <w:jc w:val="right"/>
      </w:pPr>
      <w:r>
        <w:rPr>
          <w:i/>
          <w:iCs/>
          <w:color w:val="999999"/>
          <w:sz w:val="16"/>
          <w:szCs w:val="16"/>
        </w:rPr>
        <w:t xml:space="preserve">Rupees Four Lakh Ninety-Five Thousand Only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320"/>
      </w:tblGrid>
      <w:tr>
        <w:tc>
          <w:tcPr>
            <w:tcW w:type="dxa" w:w="6000"/>
            <w:tcBorders>
              <w:top w:val="none" w:sz="0"/>
              <w:left w:val="none" w:sz="0"/>
              <w:bottom w:val="none" w:sz="0"/>
              <w:right w:val="single" w:color="99E0DA" w:sz="2"/>
            </w:tcBorders>
            <w:tcMar>
              <w:top w:type="dxa" w:w="0"/>
              <w:left w:type="dxa" w:w="0"/>
              <w:bottom w:type="dxa" w:w="0"/>
              <w:right w:type="dxa" w:w="300"/>
            </w:tcMar>
          </w:tcPr>
          <w:p>
            <w:pPr>
              <w:spacing w:after="120"/>
            </w:pPr>
            <w:r>
              <w:rPr>
                <w:b/>
                <w:bCs/>
                <w:color w:val="0D9488"/>
                <w:sz w:val="16"/>
                <w:szCs w:val="16"/>
              </w:rPr>
              <w:t xml:space="preserve">TERMS &amp; CONDITIONS</w:t>
            </w:r>
          </w:p>
          <w:p>
            <w:pPr>
              <w:spacing w:after="80"/>
            </w:pPr>
            <w:r>
              <w:rPr>
                <w:b/>
                <w:bCs/>
                <w:color w:val="0D9488"/>
                <w:sz w:val="17"/>
                <w:szCs w:val="17"/>
              </w:rPr>
              <w:t xml:space="preserve">1.  </w:t>
            </w:r>
            <w:r>
              <w:rPr>
                <w:color w:val="444444"/>
                <w:sz w:val="17"/>
                <w:szCs w:val="17"/>
              </w:rPr>
              <w:t xml:space="preserve">This is a Proforma Invoice and not a Tax Invoice.</w:t>
            </w:r>
          </w:p>
          <w:p>
            <w:pPr>
              <w:spacing w:after="80"/>
            </w:pPr>
            <w:r>
              <w:rPr>
                <w:b/>
                <w:bCs/>
                <w:color w:val="0D9488"/>
                <w:sz w:val="17"/>
                <w:szCs w:val="17"/>
              </w:rPr>
              <w:t xml:space="preserve">2.  </w:t>
            </w:r>
            <w:r>
              <w:rPr>
                <w:color w:val="444444"/>
                <w:sz w:val="17"/>
                <w:szCs w:val="17"/>
              </w:rPr>
              <w:t xml:space="preserve">Issued for advance payment / order approval purpose only.</w:t>
            </w:r>
          </w:p>
          <w:p>
            <w:pPr>
              <w:spacing w:after="80"/>
            </w:pPr>
            <w:r>
              <w:rPr>
                <w:b/>
                <w:bCs/>
                <w:color w:val="0D9488"/>
                <w:sz w:val="17"/>
                <w:szCs w:val="17"/>
              </w:rPr>
              <w:t xml:space="preserve">3.  </w:t>
            </w:r>
            <w:r>
              <w:rPr>
                <w:color w:val="444444"/>
                <w:sz w:val="17"/>
                <w:szCs w:val="17"/>
              </w:rPr>
              <w:t xml:space="preserve">Payment to be made within 15 days from the date of invoice.</w:t>
            </w:r>
          </w:p>
          <w:p>
            <w:pPr>
              <w:spacing w:after="80"/>
            </w:pPr>
            <w:r>
              <w:rPr>
                <w:b/>
                <w:bCs/>
                <w:color w:val="0D9488"/>
                <w:sz w:val="17"/>
                <w:szCs w:val="17"/>
              </w:rPr>
              <w:t xml:space="preserve">4.  </w:t>
            </w:r>
            <w:r>
              <w:rPr>
                <w:color w:val="444444"/>
                <w:sz w:val="17"/>
                <w:szCs w:val="17"/>
              </w:rPr>
              <w:t xml:space="preserve">GST will be charged as applicable at the time of final invoice.</w:t>
            </w:r>
          </w:p>
        </w:tc>
        <w:tc>
          <w:tcPr>
            <w:tcW w:type="dxa" w:w="43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300"/>
              <w:bottom w:type="dxa" w:w="0"/>
              <w:right w:type="dxa" w:w="0"/>
            </w:tcMar>
          </w:tcPr>
          <w:p>
            <w:pPr>
              <w:spacing w:after="120"/>
            </w:pPr>
            <w:r>
              <w:rPr>
                <w:b/>
                <w:bCs/>
                <w:color w:val="0D9488"/>
                <w:sz w:val="16"/>
                <w:szCs w:val="16"/>
              </w:rPr>
              <w:t xml:space="preserve">AUTHORISED SIGNATORY</w:t>
            </w:r>
          </w:p>
          <w:p>
            <w:pPr>
              <w:spacing w:after="60"/>
            </w:pPr>
            <w:r>
              <w:rPr>
                <w:color w:val="666666"/>
                <w:sz w:val="17"/>
                <w:szCs w:val="17"/>
              </w:rPr>
              <w:t xml:space="preserve">For Tendigiflex Infotech Pvt Ltd</w:t>
            </w:r>
          </w:p>
          <w:p>
            <w:pPr>
              <w:pBdr>
                <w:top w:val="dotted" w:color="0D9488" w:sz="4" w:space="4"/>
              </w:pBdr>
              <w:spacing w:before="50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Kirti Ben</w:t>
            </w:r>
          </w:p>
          <w:p>
            <w:r>
              <w:rPr>
                <w:color w:val="666666"/>
                <w:sz w:val="16"/>
                <w:szCs w:val="16"/>
              </w:rPr>
              <w:t xml:space="preserve">Director  |  16 July 2026</w:t>
            </w:r>
          </w:p>
        </w:tc>
      </w:tr>
    </w:tbl>
    <w:sectPr>
      <w:pgSz w:w="12240" w:h="15840" w:orient="portrait"/>
      <w:pgMar w:top="800" w:right="960" w:bottom="80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2026-07-24T11:26:44.250Z</dcterms:created>
  <dcterms:modified xsi:type="dcterms:W3CDTF">2026-07-24T11:26:44.250Z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