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p>
    <w:p>
      <w:pPr>
        <w:pBdr>
          <w:top w:val="single" w:color="C8960C" w:sz="24"/>
        </w:pBdr>
        <w:spacing w:after="40" w:before="0"/>
      </w:pPr>
    </w:p>
    <w:p>
      <w:pPr>
        <w:spacing w:after="360" w:before="0"/>
      </w:pPr>
    </w:p>
    <w:p>
      <w:pPr>
        <w:spacing w:after="160" w:before="0"/>
        <w:jc w:val="center"/>
      </w:pPr>
      <w:r>
        <w:rPr>
          <w:rFonts w:ascii="Arial" w:cs="Arial" w:eastAsia="Arial" w:hAnsi="Arial"/>
          <w:b/>
          <w:bCs/>
          <w:caps/>
          <w:color w:val="1B2E4B"/>
          <w:sz w:val="52"/>
          <w:szCs w:val="52"/>
        </w:rPr>
        <w:t xml:space="preserve">COMMERCIAL PROPOSAL</w:t>
      </w:r>
    </w:p>
    <w:p>
      <w:pPr>
        <w:spacing w:after="80" w:before="0"/>
        <w:jc w:val="center"/>
      </w:pPr>
      <w:r>
        <w:rPr>
          <w:rFonts w:ascii="Arial" w:cs="Arial" w:eastAsia="Arial" w:hAnsi="Arial"/>
          <w:b/>
          <w:bCs/>
          <w:color w:val="C8960C"/>
          <w:sz w:val="64"/>
          <w:szCs w:val="64"/>
        </w:rPr>
        <w:t xml:space="preserve">MANIFEST WATCH</w:t>
      </w:r>
    </w:p>
    <w:p>
      <w:pPr>
        <w:spacing w:after="200" w:before="0"/>
        <w:jc w:val="center"/>
      </w:pPr>
      <w:r>
        <w:rPr>
          <w:rFonts w:ascii="Arial" w:cs="Arial" w:eastAsia="Arial" w:hAnsi="Arial"/>
          <w:i/>
          <w:iCs/>
          <w:color w:val="5A6A80"/>
          <w:sz w:val="28"/>
          <w:szCs w:val="28"/>
        </w:rPr>
        <w:t xml:space="preserve">Automated Passenger Surveillance System</w:t>
      </w:r>
    </w:p>
    <w:p>
      <w:pPr>
        <w:pBdr>
          <w:bottom w:val="single" w:color="C8960C" w:sz="16"/>
        </w:pBdr>
        <w:spacing w:after="40" w:before="0"/>
        <w:jc w:val="center"/>
      </w:pPr>
    </w:p>
    <w:p>
      <w:pPr>
        <w:spacing w:after="480" w:before="0"/>
      </w:pPr>
    </w:p>
    <w:p>
      <w:pPr>
        <w:spacing w:after="80" w:before="0"/>
        <w:jc w:val="center"/>
      </w:pPr>
      <w:r>
        <w:rPr>
          <w:rFonts w:ascii="Arial" w:cs="Arial" w:eastAsia="Arial" w:hAnsi="Arial"/>
          <w:caps/>
          <w:color w:val="5A6A80"/>
          <w:sz w:val="22"/>
          <w:szCs w:val="22"/>
        </w:rPr>
        <w:t xml:space="preserve">Submitted To</w:t>
      </w:r>
    </w:p>
    <w:p>
      <w:pPr>
        <w:spacing w:after="40" w:before="0"/>
        <w:jc w:val="center"/>
      </w:pPr>
      <w:r>
        <w:rPr>
          <w:rFonts w:ascii="Arial" w:cs="Arial" w:eastAsia="Arial" w:hAnsi="Arial"/>
          <w:b/>
          <w:bCs/>
          <w:color w:val="1B2E4B"/>
          <w:sz w:val="26"/>
          <w:szCs w:val="26"/>
        </w:rPr>
        <w:t xml:space="preserve">Directorate of Revenue Intelligence (DRI)</w:t>
      </w:r>
    </w:p>
    <w:p>
      <w:pPr>
        <w:spacing w:after="40" w:before="0"/>
        <w:jc w:val="center"/>
      </w:pPr>
      <w:r>
        <w:rPr>
          <w:rFonts w:ascii="Arial" w:cs="Arial" w:eastAsia="Arial" w:hAnsi="Arial"/>
          <w:color w:val="1A1A2E"/>
          <w:sz w:val="22"/>
          <w:szCs w:val="22"/>
        </w:rPr>
        <w:t xml:space="preserve">Ministry of Finance, Government of India</w:t>
      </w:r>
    </w:p>
    <w:p>
      <w:pPr>
        <w:spacing w:after="200" w:before="0"/>
      </w:pPr>
    </w:p>
    <w:p>
      <w:pPr>
        <w:spacing w:after="80" w:before="0"/>
        <w:jc w:val="center"/>
      </w:pPr>
      <w:r>
        <w:rPr>
          <w:rFonts w:ascii="Arial" w:cs="Arial" w:eastAsia="Arial" w:hAnsi="Arial"/>
          <w:caps/>
          <w:color w:val="5A6A80"/>
          <w:sz w:val="22"/>
          <w:szCs w:val="22"/>
        </w:rPr>
        <w:t xml:space="preserve">Submitted By</w:t>
      </w:r>
    </w:p>
    <w:p>
      <w:pPr>
        <w:spacing w:after="40" w:before="0"/>
        <w:jc w:val="center"/>
      </w:pPr>
      <w:r>
        <w:rPr>
          <w:rFonts w:ascii="Arial" w:cs="Arial" w:eastAsia="Arial" w:hAnsi="Arial"/>
          <w:b/>
          <w:bCs/>
          <w:color w:val="1B2E4B"/>
          <w:sz w:val="26"/>
          <w:szCs w:val="26"/>
        </w:rPr>
        <w:t xml:space="preserve">Tejasw Gupta</w:t>
      </w:r>
    </w:p>
    <w:p>
      <w:pPr>
        <w:spacing w:after="200" w:before="0"/>
      </w:pPr>
    </w:p>
    <w:tbl>
      <w:tblPr>
        <w:tblW w:type="dxa" w:w="4680"/>
        <w:tblBorders>
          <w:top w:val="single" w:color="auto" w:sz="4"/>
          <w:left w:val="single" w:color="auto" w:sz="4"/>
          <w:bottom w:val="single" w:color="auto" w:sz="4"/>
          <w:right w:val="single" w:color="auto" w:sz="4"/>
          <w:insideH w:val="single" w:color="auto" w:sz="4"/>
          <w:insideV w:val="single" w:color="auto" w:sz="4"/>
        </w:tblBorders>
      </w:tblPr>
      <w:tblGrid>
        <w:gridCol w:w="2000"/>
        <w:gridCol w:w="2680"/>
      </w:tblGrid>
      <w:tr>
        <w:tc>
          <w:tcPr>
            <w:tcW w:type="dxa" w:w="2000"/>
            <w:tcBorders>
              <w:top w:val="nil" w:color="FFFFFF" w:sz="0"/>
              <w:left w:val="nil" w:color="FFFFFF" w:sz="0"/>
              <w:bottom w:val="nil" w:color="FFFFFF" w:sz="0"/>
              <w:right w:val="nil" w:color="FFFFFF" w:sz="0"/>
            </w:tcBorders>
            <w:shd w:fill="1B2E4B" w:val="clear"/>
            <w:tcMar>
              <w:top w:type="dxa" w:w="80"/>
              <w:left w:type="dxa" w:w="140"/>
              <w:bottom w:type="dxa" w:w="80"/>
              <w:right w:type="dxa" w:w="140"/>
            </w:tcMar>
          </w:tcPr>
          <w:p>
            <w:r>
              <w:rPr>
                <w:rFonts w:ascii="Arial" w:cs="Arial" w:eastAsia="Arial" w:hAnsi="Arial"/>
                <w:b/>
                <w:bCs/>
                <w:color w:val="FFFFFF"/>
                <w:sz w:val="20"/>
                <w:szCs w:val="20"/>
              </w:rPr>
              <w:t xml:space="preserve">Date</w:t>
            </w:r>
          </w:p>
        </w:tc>
        <w:tc>
          <w:tcPr>
            <w:tcW w:type="dxa" w:w="2680"/>
            <w:tcBorders>
              <w:top w:val="nil" w:color="FFFFFF" w:sz="0"/>
              <w:left w:val="nil" w:color="FFFFFF" w:sz="0"/>
              <w:bottom w:val="nil" w:color="FFFFFF" w:sz="0"/>
              <w:right w:val="nil" w:color="FFFFFF" w:sz="0"/>
            </w:tcBorders>
            <w:shd w:fill="F2F5F9" w:val="clear"/>
            <w:tcMar>
              <w:top w:type="dxa" w:w="80"/>
              <w:left w:type="dxa" w:w="140"/>
              <w:bottom w:type="dxa" w:w="80"/>
              <w:right w:type="dxa" w:w="140"/>
            </w:tcMar>
          </w:tcPr>
          <w:p>
            <w:r>
              <w:rPr>
                <w:rFonts w:ascii="Arial" w:cs="Arial" w:eastAsia="Arial" w:hAnsi="Arial"/>
                <w:color w:val="1A1A2E"/>
                <w:sz w:val="20"/>
                <w:szCs w:val="20"/>
              </w:rPr>
              <w:t xml:space="preserve">July 2026</w:t>
            </w:r>
          </w:p>
        </w:tc>
      </w:tr>
      <w:tr>
        <w:tc>
          <w:tcPr>
            <w:tcW w:type="dxa" w:w="2000"/>
            <w:tcBorders>
              <w:top w:val="nil" w:color="FFFFFF" w:sz="0"/>
              <w:left w:val="nil" w:color="FFFFFF" w:sz="0"/>
              <w:bottom w:val="nil" w:color="FFFFFF" w:sz="0"/>
              <w:right w:val="nil" w:color="FFFFFF" w:sz="0"/>
            </w:tcBorders>
            <w:shd w:fill="1B2E4B" w:val="clear"/>
            <w:tcMar>
              <w:top w:type="dxa" w:w="80"/>
              <w:left w:type="dxa" w:w="140"/>
              <w:bottom w:type="dxa" w:w="80"/>
              <w:right w:type="dxa" w:w="140"/>
            </w:tcMar>
          </w:tcPr>
          <w:p>
            <w:r>
              <w:rPr>
                <w:rFonts w:ascii="Arial" w:cs="Arial" w:eastAsia="Arial" w:hAnsi="Arial"/>
                <w:b/>
                <w:bCs/>
                <w:color w:val="FFFFFF"/>
                <w:sz w:val="20"/>
                <w:szCs w:val="20"/>
              </w:rPr>
              <w:t xml:space="preserve">Reference No.</w:t>
            </w:r>
          </w:p>
        </w:tc>
        <w:tc>
          <w:tcPr>
            <w:tcW w:type="dxa" w:w="2680"/>
            <w:tcBorders>
              <w:top w:val="nil" w:color="FFFFFF" w:sz="0"/>
              <w:left w:val="nil" w:color="FFFFFF" w:sz="0"/>
              <w:bottom w:val="nil" w:color="FFFFFF" w:sz="0"/>
              <w:right w:val="nil" w:color="FFFFFF" w:sz="0"/>
            </w:tcBorders>
            <w:shd w:fill="F2F5F9" w:val="clear"/>
            <w:tcMar>
              <w:top w:type="dxa" w:w="80"/>
              <w:left w:type="dxa" w:w="140"/>
              <w:bottom w:type="dxa" w:w="80"/>
              <w:right w:type="dxa" w:w="140"/>
            </w:tcMar>
          </w:tcPr>
          <w:p>
            <w:r>
              <w:rPr>
                <w:rFonts w:ascii="Arial" w:cs="Arial" w:eastAsia="Arial" w:hAnsi="Arial"/>
                <w:color w:val="1A1A2E"/>
                <w:sz w:val="20"/>
                <w:szCs w:val="20"/>
              </w:rPr>
              <w:t xml:space="preserve">TG/DRI/MW/2026/01</w:t>
            </w:r>
          </w:p>
        </w:tc>
      </w:tr>
      <w:tr>
        <w:tc>
          <w:tcPr>
            <w:tcW w:type="dxa" w:w="2000"/>
            <w:tcBorders>
              <w:top w:val="nil" w:color="FFFFFF" w:sz="0"/>
              <w:left w:val="nil" w:color="FFFFFF" w:sz="0"/>
              <w:bottom w:val="nil" w:color="FFFFFF" w:sz="0"/>
              <w:right w:val="nil" w:color="FFFFFF" w:sz="0"/>
            </w:tcBorders>
            <w:shd w:fill="1B2E4B" w:val="clear"/>
            <w:tcMar>
              <w:top w:type="dxa" w:w="80"/>
              <w:left w:type="dxa" w:w="140"/>
              <w:bottom w:type="dxa" w:w="80"/>
              <w:right w:type="dxa" w:w="140"/>
            </w:tcMar>
          </w:tcPr>
          <w:p>
            <w:r>
              <w:rPr>
                <w:rFonts w:ascii="Arial" w:cs="Arial" w:eastAsia="Arial" w:hAnsi="Arial"/>
                <w:b/>
                <w:bCs/>
                <w:color w:val="FFFFFF"/>
                <w:sz w:val="20"/>
                <w:szCs w:val="20"/>
              </w:rPr>
              <w:t xml:space="preserve">Classification</w:t>
            </w:r>
          </w:p>
        </w:tc>
        <w:tc>
          <w:tcPr>
            <w:tcW w:type="dxa" w:w="2680"/>
            <w:tcBorders>
              <w:top w:val="nil" w:color="FFFFFF" w:sz="0"/>
              <w:left w:val="nil" w:color="FFFFFF" w:sz="0"/>
              <w:bottom w:val="nil" w:color="FFFFFF" w:sz="0"/>
              <w:right w:val="nil" w:color="FFFFFF" w:sz="0"/>
            </w:tcBorders>
            <w:shd w:fill="F2F5F9" w:val="clear"/>
            <w:tcMar>
              <w:top w:type="dxa" w:w="80"/>
              <w:left w:type="dxa" w:w="140"/>
              <w:bottom w:type="dxa" w:w="80"/>
              <w:right w:type="dxa" w:w="140"/>
            </w:tcMar>
          </w:tcPr>
          <w:p>
            <w:r>
              <w:rPr>
                <w:rFonts w:ascii="Arial" w:cs="Arial" w:eastAsia="Arial" w:hAnsi="Arial"/>
                <w:b/>
                <w:bCs/>
                <w:color w:val="C0392B"/>
                <w:sz w:val="20"/>
                <w:szCs w:val="20"/>
              </w:rPr>
              <w:t xml:space="preserve">CONFIDENTIAL</w:t>
            </w:r>
          </w:p>
        </w:tc>
      </w:tr>
    </w:tbl>
    <w:p>
      <w:pPr>
        <w:spacing w:after="1440" w:before="0"/>
      </w:pPr>
    </w:p>
    <w:p>
      <w:pPr>
        <w:pBdr>
          <w:bottom w:val="single" w:color="1B2E4B" w:sz="8"/>
        </w:pBdr>
        <w:jc w:val="center"/>
      </w:pPr>
      <w:r>
        <w:rPr>
          <w:rFonts w:ascii="Arial" w:cs="Arial" w:eastAsia="Arial" w:hAnsi="Arial"/>
          <w:i/>
          <w:iCs/>
          <w:color w:val="5A6A80"/>
          <w:sz w:val="17"/>
          <w:szCs w:val="17"/>
        </w:rPr>
        <w:t xml:space="preserve">This document contains proprietary and confidential information. Unauthorised reproduction or distribution is strictly prohibited.</w:t>
      </w:r>
    </w:p>
    <w:p>
      <w:r>
        <w:br w:type="page"/>
      </w:r>
    </w:p>
    <w:p>
      <w:pPr>
        <w:sectPr>
          <w:pgSz w:w="11906" w:h="16838" w:orient="portrait"/>
          <w:pgMar w:top="1440" w:right="1440" w:bottom="1440" w:left="1440" w:header="708" w:footer="708" w:gutter="0"/>
          <w:pgNumType/>
          <w:docGrid w:linePitch="360"/>
        </w:sectPr>
      </w:pPr>
    </w:p>
    <w:p>
      <w:pPr>
        <w:pStyle w:val="Heading1"/>
        <w:pBdr>
          <w:bottom w:val="single" w:color="C8960C" w:sz="12"/>
        </w:pBdr>
        <w:spacing w:after="120" w:before="360"/>
      </w:pPr>
      <w:r>
        <w:rPr>
          <w:rFonts w:ascii="Arial" w:cs="Arial" w:eastAsia="Arial" w:hAnsi="Arial"/>
          <w:b/>
          <w:bCs/>
          <w:color w:val="1B2E4B"/>
          <w:sz w:val="28"/>
          <w:szCs w:val="28"/>
        </w:rPr>
        <w:t xml:space="preserve">1.  Executive Summary</w:t>
      </w:r>
    </w:p>
    <w:p>
      <w:pPr>
        <w:spacing w:after="120" w:before="0"/>
      </w:pPr>
      <w:r>
        <w:rPr>
          <w:rFonts w:ascii="Arial" w:cs="Arial" w:eastAsia="Arial" w:hAnsi="Arial"/>
          <w:color w:val="1A1A2E"/>
          <w:sz w:val="22"/>
          <w:szCs w:val="22"/>
        </w:rPr>
        <w:t xml:space="preserve">The Directorate of Revenue Intelligence (DRI) requires an efficient, reliable mechanism to cross-reference incoming airline passenger manifests against its blacklist of persons of interest. Currently this is performed manually — a time-intensive process that introduces latency, human error, and no audit trail.</w:t>
      </w:r>
    </w:p>
    <w:p>
      <w:pPr>
        <w:spacing w:after="120" w:before="0"/>
      </w:pPr>
    </w:p>
    <w:p>
      <w:pPr>
        <w:spacing w:after="120" w:before="0"/>
      </w:pPr>
      <w:r>
        <w:rPr>
          <w:rFonts w:ascii="Arial" w:cs="Arial" w:eastAsia="Arial" w:hAnsi="Arial"/>
          <w:color w:val="1A1A2E"/>
          <w:sz w:val="22"/>
          <w:szCs w:val="22"/>
        </w:rPr>
        <w:t xml:space="preserve">Manifest Watch is a purpose-built, locally-deployed software platform that fully automates manifest ingestion, parsing, blacklist matching, and alerting. It is offered under a transparent, fixed-price model: a one-time licence and deployment fee of ₹4,95,600 (inclusive of GST), plus an Annual Maintenance Contract (AMC).</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0C" w:sz="16"/>
              <w:left w:val="single" w:color="C8960C" w:sz="16"/>
              <w:bottom w:val="single" w:color="D9E2EE" w:sz="4"/>
              <w:right w:val="single" w:color="D9E2EE" w:sz="4"/>
            </w:tcBorders>
            <w:shd w:fill="EBF0F7" w:val="clear"/>
            <w:tcMar>
              <w:top w:type="dxa" w:w="140"/>
              <w:left w:type="dxa" w:w="200"/>
              <w:bottom w:type="dxa" w:w="140"/>
              <w:right w:type="dxa" w:w="200"/>
            </w:tcMar>
          </w:tcPr>
          <w:p>
            <w:pPr>
              <w:spacing w:after="80" w:before="0"/>
            </w:pPr>
            <w:r>
              <w:rPr>
                <w:rFonts w:ascii="Arial" w:cs="Arial" w:eastAsia="Arial" w:hAnsi="Arial"/>
                <w:b/>
                <w:bCs/>
                <w:caps/>
                <w:color w:val="1B2E4B"/>
                <w:sz w:val="22"/>
                <w:szCs w:val="22"/>
              </w:rPr>
              <w:t xml:space="preserve">Key Highlights</w:t>
            </w:r>
          </w:p>
          <w:p>
            <w:pPr>
              <w:spacing w:after="60" w:before="0"/>
            </w:pPr>
            <w:r>
              <w:rPr>
                <w:rFonts w:ascii="Arial" w:cs="Arial" w:eastAsia="Arial" w:hAnsi="Arial"/>
                <w:color w:val="1A1A2E"/>
                <w:sz w:val="21"/>
                <w:szCs w:val="21"/>
              </w:rPr>
              <w:t xml:space="preserve">•  Automated manifest ingestion from airline email attachments — Excel, CSV, and PDF formats</w:t>
            </w:r>
          </w:p>
          <w:p>
            <w:pPr>
              <w:spacing w:after="60" w:before="0"/>
            </w:pPr>
            <w:r>
              <w:rPr>
                <w:rFonts w:ascii="Arial" w:cs="Arial" w:eastAsia="Arial" w:hAnsi="Arial"/>
                <w:color w:val="1A1A2E"/>
                <w:sz w:val="21"/>
                <w:szCs w:val="21"/>
              </w:rPr>
              <w:t xml:space="preserve">•  Real-time cross-referencing against DRI's blacklist; alerts generated within seconds</w:t>
            </w:r>
          </w:p>
          <w:p>
            <w:pPr>
              <w:spacing w:after="60" w:before="0"/>
            </w:pPr>
            <w:r>
              <w:rPr>
                <w:rFonts w:ascii="Arial" w:cs="Arial" w:eastAsia="Arial" w:hAnsi="Arial"/>
                <w:color w:val="1A1A2E"/>
                <w:sz w:val="21"/>
                <w:szCs w:val="21"/>
              </w:rPr>
              <w:t xml:space="preserve">•  Zero cloud dependency — all data stored on DRI's own hardware, air-gap capable</w:t>
            </w:r>
          </w:p>
          <w:p>
            <w:pPr>
              <w:spacing w:after="60" w:before="0"/>
            </w:pPr>
            <w:r>
              <w:rPr>
                <w:rFonts w:ascii="Arial" w:cs="Arial" w:eastAsia="Arial" w:hAnsi="Arial"/>
                <w:color w:val="1A1A2E"/>
                <w:sz w:val="21"/>
                <w:szCs w:val="21"/>
              </w:rPr>
              <w:t xml:space="preserve">•  Full-featured web dashboard: 10+ filter dimensions, travel history, CSV export</w:t>
            </w:r>
          </w:p>
          <w:p>
            <w:pPr>
              <w:spacing w:after="60" w:before="0"/>
            </w:pPr>
            <w:r>
              <w:rPr>
                <w:rFonts w:ascii="Arial" w:cs="Arial" w:eastAsia="Arial" w:hAnsi="Arial"/>
                <w:color w:val="1A1A2E"/>
                <w:sz w:val="21"/>
                <w:szCs w:val="21"/>
              </w:rPr>
              <w:t xml:space="preserve">•  Total one-time cost ₹4,95,600 incl. GST; AMC ₹74,340 per year incl. GST</w:t>
            </w:r>
          </w:p>
          <w:p>
            <w:pPr>
              <w:spacing w:after="60" w:before="0"/>
            </w:pPr>
            <w:r>
              <w:rPr>
                <w:rFonts w:ascii="Arial" w:cs="Arial" w:eastAsia="Arial" w:hAnsi="Arial"/>
                <w:color w:val="1A1A2E"/>
                <w:sz w:val="21"/>
                <w:szCs w:val="21"/>
              </w:rPr>
              <w:t xml:space="preserve">•  Deployment-ready in 4 weeks, full training included</w:t>
            </w:r>
          </w:p>
        </w:tc>
      </w:tr>
    </w:tbl>
    <w:p>
      <w:r>
        <w:br w:type="page"/>
      </w:r>
    </w:p>
    <w:p>
      <w:pPr>
        <w:pStyle w:val="Heading1"/>
        <w:pBdr>
          <w:bottom w:val="single" w:color="C8960C" w:sz="12"/>
        </w:pBdr>
        <w:spacing w:after="120" w:before="360"/>
      </w:pPr>
      <w:r>
        <w:rPr>
          <w:rFonts w:ascii="Arial" w:cs="Arial" w:eastAsia="Arial" w:hAnsi="Arial"/>
          <w:b/>
          <w:bCs/>
          <w:color w:val="1B2E4B"/>
          <w:sz w:val="28"/>
          <w:szCs w:val="28"/>
        </w:rPr>
        <w:t xml:space="preserve">2.  Problem Statement</w:t>
      </w:r>
    </w:p>
    <w:p>
      <w:pPr>
        <w:spacing w:after="120" w:before="0"/>
      </w:pPr>
      <w:r>
        <w:rPr>
          <w:rFonts w:ascii="Arial" w:cs="Arial" w:eastAsia="Arial" w:hAnsi="Arial"/>
          <w:color w:val="1A1A2E"/>
          <w:sz w:val="22"/>
          <w:szCs w:val="22"/>
        </w:rPr>
        <w:t xml:space="preserve">DRI officers receive passenger manifest files from airlines as email attachments in Excel, CSV, and PDF formats. Each file must be individually downloaded, parsed, and checked against the blacklist. While spreadsheet tools can assist with Excel and CSV files, PDF manifests — which several carriers send — offer no such shortcut and must be reviewed entirely by hand. The process is fragmented, officer-dependent, and leaves no central record.</w:t>
      </w:r>
    </w:p>
    <w:p>
      <w:pPr>
        <w:spacing w:after="120" w:before="0"/>
      </w:pPr>
    </w:p>
    <w:p>
      <w:pPr>
        <w:pStyle w:val="Heading2"/>
        <w:spacing w:after="80" w:before="240"/>
      </w:pPr>
      <w:r>
        <w:rPr>
          <w:rFonts w:ascii="Arial" w:cs="Arial" w:eastAsia="Arial" w:hAnsi="Arial"/>
          <w:b/>
          <w:bCs/>
          <w:color w:val="1B2E4B"/>
          <w:sz w:val="24"/>
          <w:szCs w:val="24"/>
        </w:rPr>
        <w:t xml:space="preserve">2.1  Current Limitations</w:t>
      </w:r>
    </w:p>
    <w:p>
      <w:pPr>
        <w:pStyle w:val="ListParagraph"/>
        <w:numPr>
          <w:ilvl w:val="0"/>
          <w:numId w:val="2"/>
        </w:numPr>
        <w:spacing w:after="80" w:before="0"/>
      </w:pPr>
      <w:r>
        <w:rPr>
          <w:rFonts w:ascii="Arial" w:cs="Arial" w:eastAsia="Arial" w:hAnsi="Arial"/>
          <w:color w:val="1A1A2E"/>
          <w:sz w:val="22"/>
          <w:szCs w:val="22"/>
        </w:rPr>
        <w:t xml:space="preserve">PDF manifests are unstructured: VLOOKUP and similar spreadsheet tools do not work on PDF attachments. An officer must open the file, read it manually or copy-paste into a spreadsheet, and then attempt matching — a process that is slow and inconsistent across individuals.</w:t>
      </w:r>
    </w:p>
    <w:p>
      <w:pPr>
        <w:pStyle w:val="ListParagraph"/>
        <w:numPr>
          <w:ilvl w:val="0"/>
          <w:numId w:val="2"/>
        </w:numPr>
        <w:spacing w:after="80" w:before="0"/>
      </w:pPr>
      <w:r>
        <w:rPr>
          <w:rFonts w:ascii="Arial" w:cs="Arial" w:eastAsia="Arial" w:hAnsi="Arial"/>
          <w:color w:val="1A1A2E"/>
          <w:sz w:val="22"/>
          <w:szCs w:val="22"/>
        </w:rPr>
        <w:t xml:space="preserve">Constant manual monitoring required: manifests arrive at irregular intervals throughout the day. An officer must actively check their inbox and process each file as it arrives. Any delay — a meeting, leave, or overnight gap — means manifests go unchecked until someone manually attends to them.</w:t>
      </w:r>
    </w:p>
    <w:p>
      <w:pPr>
        <w:pStyle w:val="ListParagraph"/>
        <w:numPr>
          <w:ilvl w:val="0"/>
          <w:numId w:val="2"/>
        </w:numPr>
        <w:spacing w:after="80" w:before="0"/>
      </w:pPr>
      <w:r>
        <w:rPr>
          <w:rFonts w:ascii="Arial" w:cs="Arial" w:eastAsia="Arial" w:hAnsi="Arial"/>
          <w:color w:val="1A1A2E"/>
          <w:sz w:val="22"/>
          <w:szCs w:val="22"/>
        </w:rPr>
        <w:t xml:space="preserve">No centralised passenger history: each manifest is processed in isolation and then discarded or filed locally. There is no searchable record of who has travelled on which flights, making it impossible to identify travel patterns or cross-reference a person across multiple manifests without manual file retrieval.</w:t>
      </w:r>
    </w:p>
    <w:p>
      <w:pPr>
        <w:pStyle w:val="ListParagraph"/>
        <w:numPr>
          <w:ilvl w:val="0"/>
          <w:numId w:val="2"/>
        </w:numPr>
        <w:spacing w:after="80" w:before="0"/>
      </w:pPr>
      <w:r>
        <w:rPr>
          <w:rFonts w:ascii="Arial" w:cs="Arial" w:eastAsia="Arial" w:hAnsi="Arial"/>
          <w:color w:val="1A1A2E"/>
          <w:sz w:val="22"/>
          <w:szCs w:val="22"/>
        </w:rPr>
        <w:t xml:space="preserve">Manual alert communication: when a match is found, the officer must communicate it — by phone, email, or in person — to the relevant team. There is no automated, timestamped notification and no record that the alert was raised, actioned, or by whom.</w:t>
      </w:r>
    </w:p>
    <w:p>
      <w:pPr>
        <w:pStyle w:val="ListParagraph"/>
        <w:numPr>
          <w:ilvl w:val="0"/>
          <w:numId w:val="2"/>
        </w:numPr>
        <w:spacing w:after="80" w:before="0"/>
      </w:pPr>
      <w:r>
        <w:rPr>
          <w:rFonts w:ascii="Arial" w:cs="Arial" w:eastAsia="Arial" w:hAnsi="Arial"/>
          <w:color w:val="1A1A2E"/>
          <w:sz w:val="22"/>
          <w:szCs w:val="22"/>
        </w:rPr>
        <w:t xml:space="preserve">No audit trail: there is no system record of which manifests were received, which were checked, when, and by whom. This creates accountability gaps and weakens the evidentiary record in any downstream enforcement action.</w:t>
      </w:r>
    </w:p>
    <w:p>
      <w:pPr>
        <w:pStyle w:val="ListParagraph"/>
        <w:numPr>
          <w:ilvl w:val="0"/>
          <w:numId w:val="2"/>
        </w:numPr>
        <w:spacing w:after="80" w:before="0"/>
      </w:pPr>
      <w:r>
        <w:rPr>
          <w:rFonts w:ascii="Arial" w:cs="Arial" w:eastAsia="Arial" w:hAnsi="Arial"/>
          <w:color w:val="1A1A2E"/>
          <w:sz w:val="22"/>
          <w:szCs w:val="22"/>
        </w:rPr>
        <w:t xml:space="preserve">Not scalable: every additional airline or route multiplies the manual workload. There is no mechanism to absorb increased manifest volume without a proportional increase in officer time.</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0C" w:sz="16"/>
              <w:left w:val="single" w:color="C8960C" w:sz="16"/>
              <w:bottom w:val="single" w:color="D9E2EE" w:sz="4"/>
              <w:right w:val="single" w:color="D9E2EE" w:sz="4"/>
            </w:tcBorders>
            <w:shd w:fill="FFF3CD" w:val="clear"/>
            <w:tcMar>
              <w:top w:type="dxa" w:w="140"/>
              <w:left w:type="dxa" w:w="200"/>
              <w:bottom w:type="dxa" w:w="140"/>
              <w:right w:type="dxa" w:w="200"/>
            </w:tcMar>
          </w:tcPr>
          <w:p>
            <w:pPr>
              <w:spacing w:after="80" w:before="0"/>
            </w:pPr>
            <w:r>
              <w:rPr>
                <w:rFonts w:ascii="Arial" w:cs="Arial" w:eastAsia="Arial" w:hAnsi="Arial"/>
                <w:b/>
                <w:bCs/>
                <w:caps/>
                <w:color w:val="1B2E4B"/>
                <w:sz w:val="22"/>
                <w:szCs w:val="22"/>
              </w:rPr>
              <w:t xml:space="preserve">Quantified Burden</w:t>
            </w:r>
          </w:p>
          <w:p>
            <w:pPr>
              <w:spacing w:after="60" w:before="0"/>
            </w:pPr>
            <w:r>
              <w:rPr>
                <w:rFonts w:ascii="Arial" w:cs="Arial" w:eastAsia="Arial" w:hAnsi="Arial"/>
                <w:color w:val="1A1A2E"/>
                <w:sz w:val="21"/>
                <w:szCs w:val="21"/>
              </w:rPr>
              <w:t xml:space="preserve">PDF manifests cannot be screened with VLOOKUP or any spreadsheet tool. Officers must read them manually, line by line, before any matching is possible.</w:t>
            </w:r>
          </w:p>
          <w:p>
            <w:pPr>
              <w:spacing w:after="60" w:before="0"/>
            </w:pPr>
            <w:r>
              <w:rPr>
                <w:rFonts w:ascii="Arial" w:cs="Arial" w:eastAsia="Arial" w:hAnsi="Arial"/>
                <w:color w:val="1A1A2E"/>
                <w:sz w:val="21"/>
                <w:szCs w:val="21"/>
              </w:rPr>
              <w:t xml:space="preserve">Even after a match is found, there is no automated alert — the officer must manually communicate the finding and no timestamped record is created.</w:t>
            </w:r>
          </w:p>
        </w:tc>
      </w:tr>
    </w:tbl>
    <w:p>
      <w:r>
        <w:br w:type="page"/>
      </w:r>
    </w:p>
    <w:p>
      <w:pPr>
        <w:pStyle w:val="Heading1"/>
        <w:pBdr>
          <w:bottom w:val="single" w:color="C8960C" w:sz="12"/>
        </w:pBdr>
        <w:spacing w:after="120" w:before="360"/>
      </w:pPr>
      <w:r>
        <w:rPr>
          <w:rFonts w:ascii="Arial" w:cs="Arial" w:eastAsia="Arial" w:hAnsi="Arial"/>
          <w:b/>
          <w:bCs/>
          <w:color w:val="1B2E4B"/>
          <w:sz w:val="28"/>
          <w:szCs w:val="28"/>
        </w:rPr>
        <w:t xml:space="preserve">3.  Solution Overview — Manifest Watch</w:t>
      </w:r>
    </w:p>
    <w:p>
      <w:pPr>
        <w:spacing w:after="120" w:before="0"/>
      </w:pPr>
      <w:r>
        <w:rPr>
          <w:rFonts w:ascii="Arial" w:cs="Arial" w:eastAsia="Arial" w:hAnsi="Arial"/>
          <w:color w:val="1A1A2E"/>
          <w:sz w:val="22"/>
          <w:szCs w:val="22"/>
        </w:rPr>
        <w:t xml:space="preserve">Manifest Watch automates the full manifest processing pipeline. It runs entirely on DRI's hardware, requires no internet connection after setup, and is accessible to authorised staff via any browser on the local network.</w:t>
      </w:r>
    </w:p>
    <w:p>
      <w:pPr>
        <w:spacing w:after="120" w:before="0"/>
      </w:pPr>
    </w:p>
    <w:p>
      <w:pPr>
        <w:pStyle w:val="Heading2"/>
        <w:spacing w:after="80" w:before="240"/>
      </w:pPr>
      <w:r>
        <w:rPr>
          <w:rFonts w:ascii="Arial" w:cs="Arial" w:eastAsia="Arial" w:hAnsi="Arial"/>
          <w:b/>
          <w:bCs/>
          <w:color w:val="1B2E4B"/>
          <w:sz w:val="24"/>
          <w:szCs w:val="24"/>
        </w:rPr>
        <w:t xml:space="preserve">3.1  How It Works</w:t>
      </w:r>
    </w:p>
    <w:p>
      <w:pPr>
        <w:pStyle w:val="ListParagraph"/>
        <w:numPr>
          <w:ilvl w:val="0"/>
          <w:numId w:val="3"/>
        </w:numPr>
        <w:spacing w:after="80" w:before="0"/>
      </w:pPr>
      <w:r>
        <w:rPr>
          <w:rFonts w:ascii="Arial" w:cs="Arial" w:eastAsia="Arial" w:hAnsi="Arial"/>
          <w:color w:val="1A1A2E"/>
          <w:sz w:val="22"/>
          <w:szCs w:val="22"/>
        </w:rPr>
        <w:t xml:space="preserve">Manifest emails arrive in a designated DRI mailbox from airlines (Excel, CSV, or PDF attachments).</w:t>
      </w:r>
    </w:p>
    <w:p>
      <w:pPr>
        <w:pStyle w:val="ListParagraph"/>
        <w:numPr>
          <w:ilvl w:val="0"/>
          <w:numId w:val="3"/>
        </w:numPr>
        <w:spacing w:after="80" w:before="0"/>
      </w:pPr>
      <w:r>
        <w:rPr>
          <w:rFonts w:ascii="Arial" w:cs="Arial" w:eastAsia="Arial" w:hAnsi="Arial"/>
          <w:color w:val="1A1A2E"/>
          <w:sz w:val="22"/>
          <w:szCs w:val="22"/>
        </w:rPr>
        <w:t xml:space="preserve">The system's watcher downloads attachments, auto-detects the carrier and format, and parses each file using airline-specific normalisers.</w:t>
      </w:r>
    </w:p>
    <w:p>
      <w:pPr>
        <w:pStyle w:val="ListParagraph"/>
        <w:numPr>
          <w:ilvl w:val="0"/>
          <w:numId w:val="3"/>
        </w:numPr>
        <w:spacing w:after="80" w:before="0"/>
      </w:pPr>
      <w:r>
        <w:rPr>
          <w:rFonts w:ascii="Arial" w:cs="Arial" w:eastAsia="Arial" w:hAnsi="Arial"/>
          <w:color w:val="1A1A2E"/>
          <w:sz w:val="22"/>
          <w:szCs w:val="22"/>
        </w:rPr>
        <w:t xml:space="preserve">Parsed passenger records are stored, deduplicated, and indexed in the local database.</w:t>
      </w:r>
    </w:p>
    <w:p>
      <w:pPr>
        <w:pStyle w:val="ListParagraph"/>
        <w:numPr>
          <w:ilvl w:val="0"/>
          <w:numId w:val="3"/>
        </w:numPr>
        <w:spacing w:after="80" w:before="0"/>
      </w:pPr>
      <w:r>
        <w:rPr>
          <w:rFonts w:ascii="Arial" w:cs="Arial" w:eastAsia="Arial" w:hAnsi="Arial"/>
          <w:color w:val="1A1A2E"/>
          <w:sz w:val="22"/>
          <w:szCs w:val="22"/>
        </w:rPr>
        <w:t xml:space="preserve">Each record is cross-referenced against the active blacklist using multi-field fuzzy matching.</w:t>
      </w:r>
    </w:p>
    <w:p>
      <w:pPr>
        <w:pStyle w:val="ListParagraph"/>
        <w:numPr>
          <w:ilvl w:val="0"/>
          <w:numId w:val="3"/>
        </w:numPr>
        <w:spacing w:after="80" w:before="0"/>
      </w:pPr>
      <w:r>
        <w:rPr>
          <w:rFonts w:ascii="Arial" w:cs="Arial" w:eastAsia="Arial" w:hAnsi="Arial"/>
          <w:color w:val="1A1A2E"/>
          <w:sz w:val="22"/>
          <w:szCs w:val="22"/>
        </w:rPr>
        <w:t xml:space="preserve">Matches generate instant alert entries in the dashboard, tagged with matched fields.</w:t>
      </w:r>
    </w:p>
    <w:p>
      <w:pPr>
        <w:pStyle w:val="ListParagraph"/>
        <w:numPr>
          <w:ilvl w:val="0"/>
          <w:numId w:val="3"/>
        </w:numPr>
        <w:spacing w:after="80" w:before="0"/>
      </w:pPr>
      <w:r>
        <w:rPr>
          <w:rFonts w:ascii="Arial" w:cs="Arial" w:eastAsia="Arial" w:hAnsi="Arial"/>
          <w:color w:val="1A1A2E"/>
          <w:sz w:val="22"/>
          <w:szCs w:val="22"/>
        </w:rPr>
        <w:t xml:space="preserve">DRI officers access alerts, search passengers, manage the blacklist, and export data via browser.</w:t>
      </w:r>
    </w:p>
    <w:p>
      <w:pPr>
        <w:spacing w:after="120" w:before="0"/>
      </w:pPr>
    </w:p>
    <w:p>
      <w:pPr>
        <w:pStyle w:val="Heading2"/>
        <w:spacing w:after="80" w:before="240"/>
      </w:pPr>
      <w:r>
        <w:rPr>
          <w:rFonts w:ascii="Arial" w:cs="Arial" w:eastAsia="Arial" w:hAnsi="Arial"/>
          <w:b/>
          <w:bCs/>
          <w:color w:val="1B2E4B"/>
          <w:sz w:val="24"/>
          <w:szCs w:val="24"/>
        </w:rPr>
        <w:t xml:space="preserve">3.2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4400"/>
      </w:tblGrid>
      <w:tr>
        <w:trPr>
          <w:tblHeader/>
        </w:trPr>
        <w:tc>
          <w:tcPr>
            <w:tcW w:type="dxa" w:w="24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Component</w:t>
            </w:r>
          </w:p>
        </w:tc>
        <w:tc>
          <w:tcPr>
            <w:tcW w:type="dxa" w:w="25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Technology</w:t>
            </w:r>
          </w:p>
        </w:tc>
        <w:tc>
          <w:tcPr>
            <w:tcW w:type="dxa" w:w="44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Notes</w:t>
            </w:r>
          </w:p>
        </w:tc>
      </w:tr>
      <w:tr>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Email Watcher</w:t>
            </w:r>
          </w:p>
        </w:tc>
        <w:tc>
          <w:tcPr>
            <w:tcW w:type="dxa" w:w="25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Python / IMAP</w:t>
            </w:r>
          </w:p>
        </w:tc>
        <w:tc>
          <w:tcPr>
            <w:tcW w:type="dxa" w:w="4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Monitors DRI mailbox; processes unseen emails automatically</w:t>
            </w:r>
          </w:p>
        </w:tc>
      </w:tr>
      <w:tr>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Manifest Parsers</w:t>
            </w:r>
          </w:p>
        </w:tc>
        <w:tc>
          <w:tcPr>
            <w:tcW w:type="dxa" w:w="25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Python (openpyxl, pdfplumber, csv)</w:t>
            </w:r>
          </w:p>
        </w:tc>
        <w:tc>
          <w:tcPr>
            <w:tcW w:type="dxa" w:w="4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Carrier-specific normalisers for 6E, IX, TG; Excel / CSV / PDF supported</w:t>
            </w:r>
          </w:p>
        </w:tc>
      </w:tr>
      <w:tr>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Database</w:t>
            </w:r>
          </w:p>
        </w:tc>
        <w:tc>
          <w:tcPr>
            <w:tcW w:type="dxa" w:w="25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SQLite (WAL mode)</w:t>
            </w:r>
          </w:p>
        </w:tc>
        <w:tc>
          <w:tcPr>
            <w:tcW w:type="dxa" w:w="4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Local file; no DB server; concurrent-read safe; standard backup</w:t>
            </w:r>
          </w:p>
        </w:tc>
      </w:tr>
      <w:tr>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Matching Engine</w:t>
            </w:r>
          </w:p>
        </w:tc>
        <w:tc>
          <w:tcPr>
            <w:tcW w:type="dxa" w:w="25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Pure Python</w:t>
            </w:r>
          </w:p>
        </w:tc>
        <w:tc>
          <w:tcPr>
            <w:tcW w:type="dxa" w:w="4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Exact passport/email; fuzzy phone normalisation; case-insensitive name</w:t>
            </w:r>
          </w:p>
        </w:tc>
      </w:tr>
      <w:tr>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Web Dashboard</w:t>
            </w:r>
          </w:p>
        </w:tc>
        <w:tc>
          <w:tcPr>
            <w:tcW w:type="dxa" w:w="25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Python stdlib HTTP</w:t>
            </w:r>
          </w:p>
        </w:tc>
        <w:tc>
          <w:tcPr>
            <w:tcW w:type="dxa" w:w="4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Self-contained; no npm or JS frameworks; runs on localhost / LAN</w:t>
            </w:r>
          </w:p>
        </w:tc>
      </w:tr>
      <w:tr>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Deployment</w:t>
            </w:r>
          </w:p>
        </w:tc>
        <w:tc>
          <w:tcPr>
            <w:tcW w:type="dxa" w:w="25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Single machine</w:t>
            </w:r>
          </w:p>
        </w:tc>
        <w:tc>
          <w:tcPr>
            <w:tcW w:type="dxa" w:w="4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Air-gap capable; zero outbound network after setup</w:t>
            </w:r>
          </w:p>
        </w:tc>
      </w:tr>
    </w:tbl>
    <w:p>
      <w:r>
        <w:br w:type="page"/>
      </w:r>
    </w:p>
    <w:p>
      <w:pPr>
        <w:pStyle w:val="Heading1"/>
        <w:pBdr>
          <w:bottom w:val="single" w:color="C8960C" w:sz="12"/>
        </w:pBdr>
        <w:spacing w:after="120" w:before="360"/>
      </w:pPr>
      <w:r>
        <w:rPr>
          <w:rFonts w:ascii="Arial" w:cs="Arial" w:eastAsia="Arial" w:hAnsi="Arial"/>
          <w:b/>
          <w:bCs/>
          <w:color w:val="1B2E4B"/>
          <w:sz w:val="28"/>
          <w:szCs w:val="28"/>
        </w:rPr>
        <w:t xml:space="preserve">4.  Key Features &amp; Capabilities</w:t>
      </w:r>
    </w:p>
    <w:p>
      <w:pPr>
        <w:pStyle w:val="Heading2"/>
        <w:spacing w:after="80" w:before="240"/>
      </w:pPr>
      <w:r>
        <w:rPr>
          <w:rFonts w:ascii="Arial" w:cs="Arial" w:eastAsia="Arial" w:hAnsi="Arial"/>
          <w:b/>
          <w:bCs/>
          <w:color w:val="1B2E4B"/>
          <w:sz w:val="24"/>
          <w:szCs w:val="24"/>
        </w:rPr>
        <w:t xml:space="preserve">4.1  Multi-Format Manifest Ingestion</w:t>
      </w:r>
    </w:p>
    <w:p>
      <w:pPr>
        <w:pStyle w:val="ListParagraph"/>
        <w:numPr>
          <w:ilvl w:val="0"/>
          <w:numId w:val="2"/>
        </w:numPr>
        <w:spacing w:after="80" w:before="0"/>
      </w:pPr>
      <w:r>
        <w:rPr>
          <w:rFonts w:ascii="Arial" w:cs="Arial" w:eastAsia="Arial" w:hAnsi="Arial"/>
          <w:color w:val="1A1A2E"/>
          <w:sz w:val="22"/>
          <w:szCs w:val="22"/>
        </w:rPr>
        <w:t xml:space="preserve">Excel (.xlsx / .xls): full support including merged-cell headers and title rows</w:t>
      </w:r>
    </w:p>
    <w:p>
      <w:pPr>
        <w:pStyle w:val="ListParagraph"/>
        <w:numPr>
          <w:ilvl w:val="0"/>
          <w:numId w:val="2"/>
        </w:numPr>
        <w:spacing w:after="80" w:before="0"/>
      </w:pPr>
      <w:r>
        <w:rPr>
          <w:rFonts w:ascii="Arial" w:cs="Arial" w:eastAsia="Arial" w:hAnsi="Arial"/>
          <w:color w:val="1A1A2E"/>
          <w:sz w:val="22"/>
          <w:szCs w:val="22"/>
        </w:rPr>
        <w:t xml:space="preserve">CSV: auto-detects encoding (UTF-8, Latin-1) and delimiter (comma, tab, semicolon)</w:t>
      </w:r>
    </w:p>
    <w:p>
      <w:pPr>
        <w:pStyle w:val="ListParagraph"/>
        <w:numPr>
          <w:ilvl w:val="0"/>
          <w:numId w:val="2"/>
        </w:numPr>
        <w:spacing w:after="80" w:before="0"/>
      </w:pPr>
      <w:r>
        <w:rPr>
          <w:rFonts w:ascii="Arial" w:cs="Arial" w:eastAsia="Arial" w:hAnsi="Arial"/>
          <w:color w:val="1A1A2E"/>
          <w:sz w:val="22"/>
          <w:szCs w:val="22"/>
        </w:rPr>
        <w:t xml:space="preserve">PDF: three extraction strategies — line-based table, word-cluster column alignment, raw-text fallback</w:t>
      </w:r>
    </w:p>
    <w:p>
      <w:pPr>
        <w:pStyle w:val="ListParagraph"/>
        <w:numPr>
          <w:ilvl w:val="0"/>
          <w:numId w:val="2"/>
        </w:numPr>
        <w:spacing w:after="80" w:before="0"/>
      </w:pPr>
      <w:r>
        <w:rPr>
          <w:rFonts w:ascii="Arial" w:cs="Arial" w:eastAsia="Arial" w:hAnsi="Arial"/>
          <w:color w:val="1A1A2E"/>
          <w:sz w:val="22"/>
          <w:szCs w:val="22"/>
        </w:rPr>
        <w:t xml:space="preserve">Carrier auto-detection from column headers, PDF text fingerprints, and filename</w:t>
      </w:r>
    </w:p>
    <w:p>
      <w:pPr>
        <w:pStyle w:val="ListParagraph"/>
        <w:numPr>
          <w:ilvl w:val="0"/>
          <w:numId w:val="2"/>
        </w:numPr>
        <w:spacing w:after="80" w:before="0"/>
      </w:pPr>
      <w:r>
        <w:rPr>
          <w:rFonts w:ascii="Arial" w:cs="Arial" w:eastAsia="Arial" w:hAnsi="Arial"/>
          <w:color w:val="1A1A2E"/>
          <w:sz w:val="22"/>
          <w:szCs w:val="22"/>
        </w:rPr>
        <w:t xml:space="preserve">Deduplication: re-sending the same manifest does not create duplicate records</w:t>
      </w:r>
    </w:p>
    <w:p>
      <w:pPr>
        <w:spacing w:after="120" w:before="0"/>
      </w:pPr>
    </w:p>
    <w:p>
      <w:pPr>
        <w:pStyle w:val="Heading2"/>
        <w:spacing w:after="80" w:before="240"/>
      </w:pPr>
      <w:r>
        <w:rPr>
          <w:rFonts w:ascii="Arial" w:cs="Arial" w:eastAsia="Arial" w:hAnsi="Arial"/>
          <w:b/>
          <w:bCs/>
          <w:color w:val="1B2E4B"/>
          <w:sz w:val="24"/>
          <w:szCs w:val="24"/>
        </w:rPr>
        <w:t xml:space="preserve">4.2  Blacklist Management</w:t>
      </w:r>
    </w:p>
    <w:p>
      <w:pPr>
        <w:pStyle w:val="ListParagraph"/>
        <w:numPr>
          <w:ilvl w:val="0"/>
          <w:numId w:val="2"/>
        </w:numPr>
        <w:spacing w:after="80" w:before="0"/>
      </w:pPr>
      <w:r>
        <w:rPr>
          <w:rFonts w:ascii="Arial" w:cs="Arial" w:eastAsia="Arial" w:hAnsi="Arial"/>
          <w:color w:val="1A1A2E"/>
          <w:sz w:val="22"/>
          <w:szCs w:val="22"/>
        </w:rPr>
        <w:t xml:space="preserve">Add, edit, delete blacklist entries from the dashboard — no technical skill required</w:t>
      </w:r>
    </w:p>
    <w:p>
      <w:pPr>
        <w:pStyle w:val="ListParagraph"/>
        <w:numPr>
          <w:ilvl w:val="0"/>
          <w:numId w:val="2"/>
        </w:numPr>
        <w:spacing w:after="80" w:before="0"/>
      </w:pPr>
      <w:r>
        <w:rPr>
          <w:rFonts w:ascii="Arial" w:cs="Arial" w:eastAsia="Arial" w:hAnsi="Arial"/>
          <w:color w:val="1A1A2E"/>
          <w:sz w:val="22"/>
          <w:szCs w:val="22"/>
        </w:rPr>
        <w:t xml:space="preserve">Match on any combination: Passport No., Mobile No., Email, Full Name</w:t>
      </w:r>
    </w:p>
    <w:p>
      <w:pPr>
        <w:pStyle w:val="ListParagraph"/>
        <w:numPr>
          <w:ilvl w:val="0"/>
          <w:numId w:val="2"/>
        </w:numPr>
        <w:spacing w:after="80" w:before="0"/>
      </w:pPr>
      <w:r>
        <w:rPr>
          <w:rFonts w:ascii="Arial" w:cs="Arial" w:eastAsia="Arial" w:hAnsi="Arial"/>
          <w:color w:val="1A1A2E"/>
          <w:sz w:val="22"/>
          <w:szCs w:val="22"/>
        </w:rPr>
        <w:t xml:space="preserve">Fuzzy phone matching handles country-code and spacing variants</w:t>
      </w:r>
    </w:p>
    <w:p>
      <w:pPr>
        <w:pStyle w:val="ListParagraph"/>
        <w:numPr>
          <w:ilvl w:val="0"/>
          <w:numId w:val="2"/>
        </w:numPr>
        <w:spacing w:after="80" w:before="0"/>
      </w:pPr>
      <w:r>
        <w:rPr>
          <w:rFonts w:ascii="Arial" w:cs="Arial" w:eastAsia="Arial" w:hAnsi="Arial"/>
          <w:color w:val="1A1A2E"/>
          <w:sz w:val="22"/>
          <w:szCs w:val="22"/>
        </w:rPr>
        <w:t xml:space="preserve">Notes field for case reference and reason for blacklisting</w:t>
      </w:r>
    </w:p>
    <w:p>
      <w:pPr>
        <w:spacing w:after="120" w:before="0"/>
      </w:pPr>
    </w:p>
    <w:p>
      <w:pPr>
        <w:pStyle w:val="Heading2"/>
        <w:spacing w:after="80" w:before="240"/>
      </w:pPr>
      <w:r>
        <w:rPr>
          <w:rFonts w:ascii="Arial" w:cs="Arial" w:eastAsia="Arial" w:hAnsi="Arial"/>
          <w:b/>
          <w:bCs/>
          <w:color w:val="1B2E4B"/>
          <w:sz w:val="24"/>
          <w:szCs w:val="24"/>
        </w:rPr>
        <w:t xml:space="preserve">4.3  Alerts</w:t>
      </w:r>
    </w:p>
    <w:p>
      <w:pPr>
        <w:pStyle w:val="ListParagraph"/>
        <w:numPr>
          <w:ilvl w:val="0"/>
          <w:numId w:val="2"/>
        </w:numPr>
        <w:spacing w:after="80" w:before="0"/>
      </w:pPr>
      <w:r>
        <w:rPr>
          <w:rFonts w:ascii="Arial" w:cs="Arial" w:eastAsia="Arial" w:hAnsi="Arial"/>
          <w:color w:val="1A1A2E"/>
          <w:sz w:val="22"/>
          <w:szCs w:val="22"/>
        </w:rPr>
        <w:t xml:space="preserve">Alerts generated within seconds of manifest ingestion</w:t>
      </w:r>
    </w:p>
    <w:p>
      <w:pPr>
        <w:pStyle w:val="ListParagraph"/>
        <w:numPr>
          <w:ilvl w:val="0"/>
          <w:numId w:val="2"/>
        </w:numPr>
        <w:spacing w:after="80" w:before="0"/>
      </w:pPr>
      <w:r>
        <w:rPr>
          <w:rFonts w:ascii="Arial" w:cs="Arial" w:eastAsia="Arial" w:hAnsi="Arial"/>
          <w:color w:val="1A1A2E"/>
          <w:sz w:val="22"/>
          <w:szCs w:val="22"/>
        </w:rPr>
        <w:t xml:space="preserve">Each alert shows matched passenger, flight details, blacklist record, and matched field(s)</w:t>
      </w:r>
    </w:p>
    <w:p>
      <w:pPr>
        <w:pStyle w:val="ListParagraph"/>
        <w:numPr>
          <w:ilvl w:val="0"/>
          <w:numId w:val="2"/>
        </w:numPr>
        <w:spacing w:after="80" w:before="0"/>
      </w:pPr>
      <w:r>
        <w:rPr>
          <w:rFonts w:ascii="Arial" w:cs="Arial" w:eastAsia="Arial" w:hAnsi="Arial"/>
          <w:color w:val="1A1A2E"/>
          <w:sz w:val="22"/>
          <w:szCs w:val="22"/>
        </w:rPr>
        <w:t xml:space="preserve">Filter by time range and match-field type; collapsible day groups</w:t>
      </w:r>
    </w:p>
    <w:p>
      <w:pPr>
        <w:spacing w:after="120" w:before="0"/>
      </w:pPr>
    </w:p>
    <w:p>
      <w:pPr>
        <w:pStyle w:val="Heading2"/>
        <w:spacing w:after="80" w:before="240"/>
      </w:pPr>
      <w:r>
        <w:rPr>
          <w:rFonts w:ascii="Arial" w:cs="Arial" w:eastAsia="Arial" w:hAnsi="Arial"/>
          <w:b/>
          <w:bCs/>
          <w:color w:val="1B2E4B"/>
          <w:sz w:val="24"/>
          <w:szCs w:val="24"/>
        </w:rPr>
        <w:t xml:space="preserve">4.4  Passenger Search &amp; History</w:t>
      </w:r>
    </w:p>
    <w:p>
      <w:pPr>
        <w:pStyle w:val="ListParagraph"/>
        <w:numPr>
          <w:ilvl w:val="0"/>
          <w:numId w:val="2"/>
        </w:numPr>
        <w:spacing w:after="80" w:before="0"/>
      </w:pPr>
      <w:r>
        <w:rPr>
          <w:rFonts w:ascii="Arial" w:cs="Arial" w:eastAsia="Arial" w:hAnsi="Arial"/>
          <w:color w:val="1A1A2E"/>
          <w:sz w:val="22"/>
          <w:szCs w:val="22"/>
        </w:rPr>
        <w:t xml:space="preserve">10+ filter dimensions: airline, manifest type, origin, destination, flight number, cabin class, nationality, passenger type, date, date range</w:t>
      </w:r>
    </w:p>
    <w:p>
      <w:pPr>
        <w:pStyle w:val="ListParagraph"/>
        <w:numPr>
          <w:ilvl w:val="0"/>
          <w:numId w:val="2"/>
        </w:numPr>
        <w:spacing w:after="80" w:before="0"/>
      </w:pPr>
      <w:r>
        <w:rPr>
          <w:rFonts w:ascii="Arial" w:cs="Arial" w:eastAsia="Arial" w:hAnsi="Arial"/>
          <w:color w:val="1A1A2E"/>
          <w:sz w:val="22"/>
          <w:szCs w:val="22"/>
        </w:rPr>
        <w:t xml:space="preserve">Travel history drawer: full cross-manifest flight history for any passport number</w:t>
      </w:r>
    </w:p>
    <w:p>
      <w:pPr>
        <w:pStyle w:val="ListParagraph"/>
        <w:numPr>
          <w:ilvl w:val="0"/>
          <w:numId w:val="2"/>
        </w:numPr>
        <w:spacing w:after="80" w:before="0"/>
      </w:pPr>
      <w:r>
        <w:rPr>
          <w:rFonts w:ascii="Arial" w:cs="Arial" w:eastAsia="Arial" w:hAnsi="Arial"/>
          <w:color w:val="1A1A2E"/>
          <w:sz w:val="22"/>
          <w:szCs w:val="22"/>
        </w:rPr>
        <w:t xml:space="preserve">One-click CSV export of any filtered result set</w:t>
      </w:r>
    </w:p>
    <w:p>
      <w:pPr>
        <w:spacing w:after="120" w:before="0"/>
      </w:pPr>
    </w:p>
    <w:p>
      <w:pPr>
        <w:pStyle w:val="Heading2"/>
        <w:spacing w:after="80" w:before="240"/>
      </w:pPr>
      <w:r>
        <w:rPr>
          <w:rFonts w:ascii="Arial" w:cs="Arial" w:eastAsia="Arial" w:hAnsi="Arial"/>
          <w:b/>
          <w:bCs/>
          <w:color w:val="1B2E4B"/>
          <w:sz w:val="24"/>
          <w:szCs w:val="24"/>
        </w:rPr>
        <w:t xml:space="preserve">4.5  Security &amp; Data Governance</w:t>
      </w:r>
    </w:p>
    <w:p>
      <w:pPr>
        <w:pStyle w:val="ListParagraph"/>
        <w:numPr>
          <w:ilvl w:val="0"/>
          <w:numId w:val="2"/>
        </w:numPr>
        <w:spacing w:after="80" w:before="0"/>
      </w:pPr>
      <w:r>
        <w:rPr>
          <w:rFonts w:ascii="Arial" w:cs="Arial" w:eastAsia="Arial" w:hAnsi="Arial"/>
          <w:color w:val="1A1A2E"/>
          <w:sz w:val="22"/>
          <w:szCs w:val="22"/>
        </w:rPr>
        <w:t xml:space="preserve">All data stored locally on DRI hardware — nothing transmitted externally</w:t>
      </w:r>
    </w:p>
    <w:p>
      <w:pPr>
        <w:pStyle w:val="ListParagraph"/>
        <w:numPr>
          <w:ilvl w:val="0"/>
          <w:numId w:val="2"/>
        </w:numPr>
        <w:spacing w:after="80" w:before="0"/>
      </w:pPr>
      <w:r>
        <w:rPr>
          <w:rFonts w:ascii="Arial" w:cs="Arial" w:eastAsia="Arial" w:hAnsi="Arial"/>
          <w:color w:val="1A1A2E"/>
          <w:sz w:val="22"/>
          <w:szCs w:val="22"/>
        </w:rPr>
        <w:t xml:space="preserve">Air-gap capable; no internet required post-deployment</w:t>
      </w:r>
    </w:p>
    <w:p>
      <w:pPr>
        <w:pStyle w:val="ListParagraph"/>
        <w:numPr>
          <w:ilvl w:val="0"/>
          <w:numId w:val="2"/>
        </w:numPr>
        <w:spacing w:after="80" w:before="0"/>
      </w:pPr>
      <w:r>
        <w:rPr>
          <w:rFonts w:ascii="Arial" w:cs="Arial" w:eastAsia="Arial" w:hAnsi="Arial"/>
          <w:color w:val="1A1A2E"/>
          <w:sz w:val="22"/>
          <w:szCs w:val="22"/>
        </w:rPr>
        <w:t xml:space="preserve">No telemetry, analytics, or third-party tracking of any kind</w:t>
      </w:r>
    </w:p>
    <w:p>
      <w:r>
        <w:br w:type="page"/>
      </w:r>
    </w:p>
    <w:p>
      <w:pPr>
        <w:pStyle w:val="Heading1"/>
        <w:pBdr>
          <w:bottom w:val="single" w:color="C8960C" w:sz="12"/>
        </w:pBdr>
        <w:spacing w:after="120" w:before="360"/>
      </w:pPr>
      <w:r>
        <w:rPr>
          <w:rFonts w:ascii="Arial" w:cs="Arial" w:eastAsia="Arial" w:hAnsi="Arial"/>
          <w:b/>
          <w:bCs/>
          <w:color w:val="1B2E4B"/>
          <w:sz w:val="28"/>
          <w:szCs w:val="28"/>
        </w:rPr>
        <w:t xml:space="preserve">5.  Operational Benefits</w:t>
      </w:r>
    </w:p>
    <w:p>
      <w:pPr>
        <w:pStyle w:val="Heading2"/>
        <w:spacing w:after="100" w:before="240"/>
      </w:pPr>
      <w:r>
        <w:rPr>
          <w:rFonts w:ascii="Arial" w:cs="Arial" w:eastAsia="Arial" w:hAnsi="Arial"/>
          <w:b/>
          <w:bCs/>
          <w:color w:val="1B2E4B"/>
          <w:sz w:val="24"/>
          <w:szCs w:val="24"/>
        </w:rPr>
        <w:t>5.1  What Manifest Watch Does That the Manual Process Cannot</w:t>
      </w:r>
    </w:p>
    <w:p>
      <w:pPr>
        <w:spacing w:after="120" w:before="0"/>
      </w:pPr>
    </w:p>
    <w:p>
      <w:pPr>
        <w:pStyle w:val="ListParagraph"/>
        <w:numPr>
          <w:ilvl w:val="0"/>
          <w:numId w:val="2"/>
        </w:numPr>
        <w:spacing w:after="80" w:before="0"/>
      </w:pPr>
      <w:r>
        <w:rPr>
          <w:rFonts w:ascii="Arial" w:cs="Arial" w:eastAsia="Arial" w:hAnsi="Arial"/>
          <w:b/>
          <w:bCs/>
          <w:color w:val="1A1A2E"/>
          <w:sz w:val="22"/>
          <w:szCs w:val="22"/>
        </w:rPr>
        <w:t xml:space="preserve">No manual equivalent for PDF: </w:t>
      </w:r>
      <w:r>
        <w:rPr>
          <w:rFonts w:ascii="Arial" w:cs="Arial" w:eastAsia="Arial" w:hAnsi="Arial"/>
          <w:color w:val="1A1A2E"/>
          <w:sz w:val="22"/>
          <w:szCs w:val="22"/>
        </w:rPr>
        <w:t xml:space="preserve">PDF manifests cannot be processed with spreadsheet tools. Manifest Watch parses PDF, Excel, and CSV attachments automatically, normalising each into a common structure regardless of format or airline. An officer has no equivalent capability for PDF files.</w:t>
      </w:r>
    </w:p>
    <w:p>
      <w:pPr>
        <w:pStyle w:val="ListParagraph"/>
        <w:numPr>
          <w:ilvl w:val="0"/>
          <w:numId w:val="2"/>
        </w:numPr>
        <w:spacing w:after="80" w:before="0"/>
      </w:pPr>
      <w:r>
        <w:rPr>
          <w:rFonts w:ascii="Arial" w:cs="Arial" w:eastAsia="Arial" w:hAnsi="Arial"/>
          <w:b/>
          <w:bCs/>
          <w:color w:val="1A1A2E"/>
          <w:sz w:val="22"/>
          <w:szCs w:val="22"/>
        </w:rPr>
        <w:t xml:space="preserve">Always-on monitoring: </w:t>
      </w:r>
      <w:r>
        <w:rPr>
          <w:rFonts w:ascii="Arial" w:cs="Arial" w:eastAsia="Arial" w:hAnsi="Arial"/>
          <w:color w:val="1A1A2E"/>
          <w:sz w:val="22"/>
          <w:szCs w:val="22"/>
        </w:rPr>
        <w:t xml:space="preserve">The system monitors the DRI mailbox continuously. Manifests are processed and screened the moment they arrive — whether at 2 AM, over a weekend, or during a leave period. No officer is required to be present, watching their inbox, for screening to occur.</w:t>
      </w:r>
    </w:p>
    <w:p>
      <w:pPr>
        <w:pStyle w:val="ListParagraph"/>
        <w:numPr>
          <w:ilvl w:val="0"/>
          <w:numId w:val="2"/>
        </w:numPr>
        <w:spacing w:after="80" w:before="0"/>
      </w:pPr>
      <w:r>
        <w:rPr>
          <w:rFonts w:ascii="Arial" w:cs="Arial" w:eastAsia="Arial" w:hAnsi="Arial"/>
          <w:b/>
          <w:bCs/>
          <w:color w:val="1A1A2E"/>
          <w:sz w:val="22"/>
          <w:szCs w:val="22"/>
        </w:rPr>
        <w:t xml:space="preserve">Cumulative passenger intelligence: </w:t>
      </w:r>
      <w:r>
        <w:rPr>
          <w:rFonts w:ascii="Arial" w:cs="Arial" w:eastAsia="Arial" w:hAnsi="Arial"/>
          <w:color w:val="1A1A2E"/>
          <w:sz w:val="22"/>
          <w:szCs w:val="22"/>
        </w:rPr>
        <w:t xml:space="preserve">Every parsed manifest is stored in a central, searchable database. Over time this builds a complete travel history for every passport number seen across all airlines. An officer can query — in seconds — every flight a person has taken across all manifests ever received. This record does not exist today and cannot be created retrospectively without the system.</w:t>
      </w:r>
    </w:p>
    <w:p>
      <w:pPr>
        <w:pStyle w:val="ListParagraph"/>
        <w:numPr>
          <w:ilvl w:val="0"/>
          <w:numId w:val="2"/>
        </w:numPr>
        <w:spacing w:after="80" w:before="0"/>
      </w:pPr>
      <w:r>
        <w:rPr>
          <w:rFonts w:ascii="Arial" w:cs="Arial" w:eastAsia="Arial" w:hAnsi="Arial"/>
          <w:b/>
          <w:bCs/>
          <w:color w:val="1A1A2E"/>
          <w:sz w:val="22"/>
          <w:szCs w:val="22"/>
        </w:rPr>
        <w:t xml:space="preserve">Automated, timestamped alerting: </w:t>
      </w:r>
      <w:r>
        <w:rPr>
          <w:rFonts w:ascii="Arial" w:cs="Arial" w:eastAsia="Arial" w:hAnsi="Arial"/>
          <w:color w:val="1A1A2E"/>
          <w:sz w:val="22"/>
          <w:szCs w:val="22"/>
        </w:rPr>
        <w:t xml:space="preserve">When a blacklist match is found, the system records it immediately with a timestamp, the matched fields, and the full passenger and flight details. The relevant officer sees it in the dashboard without anyone having to pick up a phone, send an email, or remember to follow up.</w:t>
      </w:r>
    </w:p>
    <w:p>
      <w:pPr>
        <w:pStyle w:val="ListParagraph"/>
        <w:numPr>
          <w:ilvl w:val="0"/>
          <w:numId w:val="2"/>
        </w:numPr>
        <w:spacing w:after="80" w:before="0"/>
      </w:pPr>
      <w:r>
        <w:rPr>
          <w:rFonts w:ascii="Arial" w:cs="Arial" w:eastAsia="Arial" w:hAnsi="Arial"/>
          <w:b/>
          <w:bCs/>
          <w:color w:val="1A1A2E"/>
          <w:sz w:val="22"/>
          <w:szCs w:val="22"/>
        </w:rPr>
        <w:t xml:space="preserve">Full audit trail: </w:t>
      </w:r>
      <w:r>
        <w:rPr>
          <w:rFonts w:ascii="Arial" w:cs="Arial" w:eastAsia="Arial" w:hAnsi="Arial"/>
          <w:color w:val="1A1A2E"/>
          <w:sz w:val="22"/>
          <w:szCs w:val="22"/>
        </w:rPr>
        <w:t xml:space="preserve">Every manifest received, every record parsed, and every match generated is logged with a timestamp. This creates an auditable operational record that supports any downstream enforcement action, internal review, or accountability inquiry. The manual process produces no such record.</w:t>
      </w:r>
    </w:p>
    <w:p>
      <w:pPr>
        <w:spacing w:after="120" w:before="0"/>
      </w:pPr>
    </w:p>
    <w:p>
      <w:pPr>
        <w:pStyle w:val="Heading2"/>
        <w:spacing w:after="100" w:before="240"/>
      </w:pPr>
      <w:r>
        <w:rPr>
          <w:rFonts w:ascii="Arial" w:cs="Arial" w:eastAsia="Arial" w:hAnsi="Arial"/>
          <w:b/>
          <w:bCs/>
          <w:color w:val="1B2E4B"/>
          <w:sz w:val="24"/>
          <w:szCs w:val="24"/>
        </w:rPr>
        <w:t>5.2  Comparative Summary</w:t>
      </w:r>
    </w:p>
    <w:p>
      <w:pPr>
        <w:spacing w:after="120" w:before="0"/>
      </w:pPr>
    </w:p>
    <w:p>
      <w:pPr>
        <w:pStyle w:val="ListParagraph"/>
        <w:numPr>
          <w:ilvl w:val="0"/>
          <w:numId w:val="2"/>
        </w:numPr>
        <w:spacing w:after="80" w:before="0"/>
      </w:pPr>
      <w:r>
        <w:rPr>
          <w:rFonts w:ascii="Arial" w:cs="Arial" w:eastAsia="Arial" w:hAnsi="Arial"/>
          <w:color w:val="1A1A2E"/>
          <w:sz w:val="22"/>
          <w:szCs w:val="22"/>
        </w:rPr>
        <w:t xml:space="preserve">PDF screening: not possible manually; fully automated with Manifest Watch.</w:t>
      </w:r>
    </w:p>
    <w:p>
      <w:pPr>
        <w:pStyle w:val="ListParagraph"/>
        <w:numPr>
          <w:ilvl w:val="0"/>
          <w:numId w:val="2"/>
        </w:numPr>
        <w:spacing w:after="80" w:before="0"/>
      </w:pPr>
      <w:r>
        <w:rPr>
          <w:rFonts w:ascii="Arial" w:cs="Arial" w:eastAsia="Arial" w:hAnsi="Arial"/>
          <w:color w:val="1A1A2E"/>
          <w:sz w:val="22"/>
          <w:szCs w:val="22"/>
        </w:rPr>
        <w:t xml:space="preserve">Monitoring continuity: dependent on officer availability manually; continuous and uninterrupted with Manifest Watch.</w:t>
      </w:r>
    </w:p>
    <w:p>
      <w:pPr>
        <w:pStyle w:val="ListParagraph"/>
        <w:numPr>
          <w:ilvl w:val="0"/>
          <w:numId w:val="2"/>
        </w:numPr>
        <w:spacing w:after="80" w:before="0"/>
      </w:pPr>
      <w:r>
        <w:rPr>
          <w:rFonts w:ascii="Arial" w:cs="Arial" w:eastAsia="Arial" w:hAnsi="Arial"/>
          <w:color w:val="1A1A2E"/>
          <w:sz w:val="22"/>
          <w:szCs w:val="22"/>
        </w:rPr>
        <w:t xml:space="preserve">Passenger history: does not exist in the current process; built automatically and queryable from day one.</w:t>
      </w:r>
    </w:p>
    <w:p>
      <w:pPr>
        <w:pStyle w:val="ListParagraph"/>
        <w:numPr>
          <w:ilvl w:val="0"/>
          <w:numId w:val="2"/>
        </w:numPr>
        <w:spacing w:after="80" w:before="0"/>
      </w:pPr>
      <w:r>
        <w:rPr>
          <w:rFonts w:ascii="Arial" w:cs="Arial" w:eastAsia="Arial" w:hAnsi="Arial"/>
          <w:color w:val="1A1A2E"/>
          <w:sz w:val="22"/>
          <w:szCs w:val="22"/>
        </w:rPr>
        <w:t xml:space="preserve">Alert communication: informal, unrecorded, and dependent on the individual officer manually; instant, timestamped, and centralised with Manifest Watch.</w:t>
      </w:r>
    </w:p>
    <w:p>
      <w:pPr>
        <w:pStyle w:val="ListParagraph"/>
        <w:numPr>
          <w:ilvl w:val="0"/>
          <w:numId w:val="2"/>
        </w:numPr>
        <w:spacing w:after="80" w:before="0"/>
      </w:pPr>
      <w:r>
        <w:rPr>
          <w:rFonts w:ascii="Arial" w:cs="Arial" w:eastAsia="Arial" w:hAnsi="Arial"/>
          <w:color w:val="1A1A2E"/>
          <w:sz w:val="22"/>
          <w:szCs w:val="22"/>
        </w:rPr>
        <w:t xml:space="preserve">Audit record: absent in the current process; complete and automatic with Manifest Watch.</w:t>
      </w:r>
    </w:p>
    <w:p>
      <w:pPr>
        <w:spacing w:after="120" w:before="0"/>
      </w:pPr>
    </w:p>
    <w:p>
      <w:r>
        <w:br w:type="page"/>
      </w:r>
    </w:p>
    <w:p>
      <w:pPr>
        <w:pStyle w:val="Heading1"/>
        <w:pBdr>
          <w:bottom w:val="single" w:color="C8960C" w:sz="12"/>
        </w:pBdr>
        <w:spacing w:after="120" w:before="360"/>
      </w:pPr>
      <w:r>
        <w:rPr>
          <w:rFonts w:ascii="Arial" w:cs="Arial" w:eastAsia="Arial" w:hAnsi="Arial"/>
          <w:b/>
          <w:bCs/>
          <w:color w:val="1B2E4B"/>
          <w:sz w:val="28"/>
          <w:szCs w:val="28"/>
        </w:rPr>
        <w:t xml:space="preserve">6.  Pricing &amp; Cost Structure</w:t>
      </w:r>
    </w:p>
    <w:p>
      <w:pPr>
        <w:pStyle w:val="Heading2"/>
        <w:spacing w:after="80" w:before="240"/>
      </w:pPr>
      <w:r>
        <w:rPr>
          <w:rFonts w:ascii="Arial" w:cs="Arial" w:eastAsia="Arial" w:hAnsi="Arial"/>
          <w:b/>
          <w:bCs/>
          <w:color w:val="1B2E4B"/>
          <w:sz w:val="24"/>
          <w:szCs w:val="24"/>
        </w:rPr>
        <w:t xml:space="preserve">7.1  One-Time Licence &amp; Deployment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160"/>
        <w:gridCol w:w="2400"/>
      </w:tblGrid>
      <w:tr>
        <w:trPr>
          <w:tblHeader/>
        </w:trPr>
        <w:tc>
          <w:tcPr>
            <w:tcW w:type="dxa" w:w="28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Item</w:t>
            </w:r>
          </w:p>
        </w:tc>
        <w:tc>
          <w:tcPr>
            <w:tcW w:type="dxa" w:w="41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Description</w:t>
            </w:r>
          </w:p>
        </w:tc>
        <w:tc>
          <w:tcPr>
            <w:tcW w:type="dxa" w:w="24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Amount (INR)</w:t>
            </w:r>
          </w:p>
        </w:tc>
      </w:tr>
      <w:tr>
        <w:tc>
          <w:tcPr>
            <w:tcW w:type="dxa" w:w="28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Software Licence</w:t>
            </w:r>
          </w:p>
        </w:tc>
        <w:tc>
          <w:tcPr>
            <w:tcW w:type="dxa" w:w="41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Perpetual single-site licence. Full source code, documentation, and unrestricted right to deploy on DRI's own infrastructure.</w:t>
            </w:r>
          </w:p>
        </w:tc>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₹2,50,000</w:t>
            </w:r>
          </w:p>
        </w:tc>
      </w:tr>
      <w:tr>
        <w:tc>
          <w:tcPr>
            <w:tcW w:type="dxa" w:w="28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Deployment &amp; Integration</w:t>
            </w:r>
          </w:p>
        </w:tc>
        <w:tc>
          <w:tcPr>
            <w:tcW w:type="dxa" w:w="41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On-site installation, email-watcher configuration, airline parser setup, database initialisation, and LAN network binding.</w:t>
            </w:r>
          </w:p>
        </w:tc>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₹90,000</w:t>
            </w:r>
          </w:p>
        </w:tc>
      </w:tr>
      <w:tr>
        <w:tc>
          <w:tcPr>
            <w:tcW w:type="dxa" w:w="28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Data Migration &amp; Setup</w:t>
            </w:r>
          </w:p>
        </w:tc>
        <w:tc>
          <w:tcPr>
            <w:tcW w:type="dxa" w:w="41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Import of existing blacklist data; configuration of up to 3 airline manifest templates (6E, IX, TG).</w:t>
            </w:r>
          </w:p>
        </w:tc>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₹30,000</w:t>
            </w:r>
          </w:p>
        </w:tc>
      </w:tr>
      <w:tr>
        <w:tc>
          <w:tcPr>
            <w:tcW w:type="dxa" w:w="28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Training</w:t>
            </w:r>
          </w:p>
        </w:tc>
        <w:tc>
          <w:tcPr>
            <w:tcW w:type="dxa" w:w="41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Two training sessions: (1) Operator — blacklist, alerts, search, export; (2) Administrator — config, maintenance, backup.</w:t>
            </w:r>
          </w:p>
        </w:tc>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₹30,000</w:t>
            </w:r>
          </w:p>
        </w:tc>
      </w:tr>
      <w:tr>
        <w:tc>
          <w:tcPr>
            <w:tcW w:type="dxa" w:w="28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Documentation</w:t>
            </w:r>
          </w:p>
        </w:tc>
        <w:tc>
          <w:tcPr>
            <w:tcW w:type="dxa" w:w="41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Technical manual, operator guide, and administrator handbook (printed + digital PDF).</w:t>
            </w:r>
          </w:p>
        </w:tc>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₹20,000</w:t>
            </w:r>
          </w:p>
        </w:tc>
      </w:tr>
      <w:tr>
        <w:tc>
          <w:tcPr>
            <w:tcW w:type="dxa" w:w="2800"/>
            <w:tcBorders>
              <w:top w:val="single" w:color="D9E2EE" w:sz="4"/>
              <w:left w:val="single" w:color="D9E2EE" w:sz="4"/>
              <w:bottom w:val="single" w:color="D9E2EE" w:sz="4"/>
              <w:right w:val="single" w:color="D9E2EE" w:sz="4"/>
            </w:tcBorders>
            <w:shd w:fill="D9E2EE" w:val="clear"/>
            <w:tcMar>
              <w:top w:type="dxa" w:w="80"/>
              <w:left w:type="dxa" w:w="140"/>
              <w:bottom w:type="dxa" w:w="80"/>
              <w:right w:type="dxa" w:w="140"/>
            </w:tcMar>
          </w:tcPr>
          <w:p>
            <w:r>
              <w:rPr>
                <w:rFonts w:ascii="Arial" w:cs="Arial" w:eastAsia="Arial" w:hAnsi="Arial"/>
                <w:b/>
                <w:bCs/>
                <w:color w:val="1B2E4B"/>
                <w:sz w:val="20"/>
                <w:szCs w:val="20"/>
              </w:rPr>
              <w:t xml:space="preserve"/>
            </w:r>
          </w:p>
        </w:tc>
        <w:tc>
          <w:tcPr>
            <w:tcW w:type="dxa" w:w="4160"/>
            <w:tcBorders>
              <w:top w:val="single" w:color="D9E2EE" w:sz="4"/>
              <w:left w:val="single" w:color="D9E2EE" w:sz="4"/>
              <w:bottom w:val="single" w:color="D9E2EE" w:sz="4"/>
              <w:right w:val="single" w:color="D9E2EE" w:sz="4"/>
            </w:tcBorders>
            <w:shd w:fill="D9E2EE" w:val="clear"/>
            <w:tcMar>
              <w:top w:type="dxa" w:w="80"/>
              <w:left w:type="dxa" w:w="140"/>
              <w:bottom w:type="dxa" w:w="80"/>
              <w:right w:type="dxa" w:w="140"/>
            </w:tcMar>
          </w:tcPr>
          <w:p>
            <w:r>
              <w:rPr>
                <w:rFonts w:ascii="Arial" w:cs="Arial" w:eastAsia="Arial" w:hAnsi="Arial"/>
                <w:b/>
                <w:bCs/>
                <w:color w:val="1B2E4B"/>
                <w:sz w:val="20"/>
                <w:szCs w:val="20"/>
              </w:rPr>
              <w:t xml:space="preserve">Sub-total (pre-GST)</w:t>
            </w:r>
          </w:p>
        </w:tc>
        <w:tc>
          <w:tcPr>
            <w:tcW w:type="dxa" w:w="2400"/>
            <w:tcBorders>
              <w:top w:val="single" w:color="D9E2EE" w:sz="4"/>
              <w:left w:val="single" w:color="D9E2EE" w:sz="4"/>
              <w:bottom w:val="single" w:color="D9E2EE" w:sz="4"/>
              <w:right w:val="single" w:color="D9E2EE" w:sz="4"/>
            </w:tcBorders>
            <w:shd w:fill="D9E2EE" w:val="clear"/>
            <w:tcMar>
              <w:top w:type="dxa" w:w="80"/>
              <w:left w:type="dxa" w:w="140"/>
              <w:bottom w:type="dxa" w:w="80"/>
              <w:right w:type="dxa" w:w="140"/>
            </w:tcMar>
          </w:tcPr>
          <w:p>
            <w:r>
              <w:rPr>
                <w:rFonts w:ascii="Arial" w:cs="Arial" w:eastAsia="Arial" w:hAnsi="Arial"/>
                <w:b/>
                <w:bCs/>
                <w:color w:val="1B2E4B"/>
                <w:sz w:val="20"/>
                <w:szCs w:val="20"/>
              </w:rPr>
              <w:t xml:space="preserve">₹4,20,000</w:t>
            </w:r>
          </w:p>
        </w:tc>
      </w:tr>
      <w:tr>
        <w:tc>
          <w:tcPr>
            <w:tcW w:type="dxa" w:w="28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
            </w:r>
          </w:p>
        </w:tc>
        <w:tc>
          <w:tcPr>
            <w:tcW w:type="dxa" w:w="41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GST @ 18%</w:t>
            </w:r>
          </w:p>
        </w:tc>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₹75,600</w:t>
            </w:r>
          </w:p>
        </w:tc>
      </w:tr>
      <w:tr>
        <w:tc>
          <w:tcPr>
            <w:tcW w:type="dxa" w:w="28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
            </w:r>
          </w:p>
        </w:tc>
        <w:tc>
          <w:tcPr>
            <w:tcW w:type="dxa" w:w="41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TOTAL ONE-TIME COST (incl. GST)</w:t>
            </w:r>
          </w:p>
        </w:tc>
        <w:tc>
          <w:tcPr>
            <w:tcW w:type="dxa" w:w="24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₹4,95,600</w:t>
            </w:r>
          </w:p>
        </w:tc>
      </w:tr>
    </w:tbl>
    <w:p>
      <w:pPr>
        <w:spacing w:after="80" w:before="0"/>
      </w:pPr>
    </w:p>
    <w:p>
      <w:pPr>
        <w:spacing w:after="80" w:before="0"/>
      </w:pPr>
      <w:r>
        <w:rPr>
          <w:rFonts w:ascii="Arial" w:cs="Arial" w:eastAsia="Arial" w:hAnsi="Arial"/>
          <w:i/>
          <w:iCs/>
          <w:color w:val="5A6A80"/>
          <w:sz w:val="20"/>
          <w:szCs w:val="20"/>
        </w:rPr>
        <w:t xml:space="preserve">Total one-time cost: ₹4,95,600 inclusive of GST.</w:t>
      </w:r>
    </w:p>
    <w:p>
      <w:pPr>
        <w:spacing w:after="200" w:before="0"/>
      </w:pPr>
    </w:p>
    <w:p>
      <w:pPr>
        <w:pStyle w:val="Heading2"/>
        <w:spacing w:after="80" w:before="240"/>
      </w:pPr>
      <w:r>
        <w:rPr>
          <w:rFonts w:ascii="Arial" w:cs="Arial" w:eastAsia="Arial" w:hAnsi="Arial"/>
          <w:b/>
          <w:bCs/>
          <w:color w:val="1B2E4B"/>
          <w:sz w:val="24"/>
          <w:szCs w:val="24"/>
        </w:rPr>
        <w:t xml:space="preserve">7.2  Annual Maintenance Contract (AMC)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160"/>
        <w:gridCol w:w="2400"/>
      </w:tblGrid>
      <w:tr>
        <w:trPr>
          <w:tblHeader/>
        </w:trPr>
        <w:tc>
          <w:tcPr>
            <w:tcW w:type="dxa" w:w="28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Item</w:t>
            </w:r>
          </w:p>
        </w:tc>
        <w:tc>
          <w:tcPr>
            <w:tcW w:type="dxa" w:w="41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Description</w:t>
            </w:r>
          </w:p>
        </w:tc>
        <w:tc>
          <w:tcPr>
            <w:tcW w:type="dxa" w:w="24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Annual Amount (INR)</w:t>
            </w:r>
          </w:p>
        </w:tc>
      </w:tr>
      <w:tr>
        <w:tc>
          <w:tcPr>
            <w:tcW w:type="dxa" w:w="28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Software Updates</w:t>
            </w:r>
          </w:p>
        </w:tc>
        <w:tc>
          <w:tcPr>
            <w:tcW w:type="dxa" w:w="41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All feature updates, bug fixes, and security patches. Includes new airline format support as airlines update their templates.</w:t>
            </w:r>
          </w:p>
        </w:tc>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₹36,000</w:t>
            </w:r>
          </w:p>
        </w:tc>
      </w:tr>
      <w:tr>
        <w:tc>
          <w:tcPr>
            <w:tcW w:type="dxa" w:w="28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Technical Support</w:t>
            </w:r>
          </w:p>
        </w:tc>
        <w:tc>
          <w:tcPr>
            <w:tcW w:type="dxa" w:w="41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Priority email and telephone support (8×5); 4-hour response SLA for critical issues.</w:t>
            </w:r>
          </w:p>
        </w:tc>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₹18,000</w:t>
            </w:r>
          </w:p>
        </w:tc>
      </w:tr>
      <w:tr>
        <w:tc>
          <w:tcPr>
            <w:tcW w:type="dxa" w:w="28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Annual Health Check</w:t>
            </w:r>
          </w:p>
        </w:tc>
        <w:tc>
          <w:tcPr>
            <w:tcW w:type="dxa" w:w="41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One annual on-site visit for performance optimisation and database maintenance.</w:t>
            </w:r>
          </w:p>
        </w:tc>
        <w:tc>
          <w:tcPr>
            <w:tcW w:type="dxa" w:w="2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₹9,000</w:t>
            </w:r>
          </w:p>
        </w:tc>
      </w:tr>
      <w:tr>
        <w:tc>
          <w:tcPr>
            <w:tcW w:type="dxa" w:w="2800"/>
            <w:tcBorders>
              <w:top w:val="single" w:color="D9E2EE" w:sz="4"/>
              <w:left w:val="single" w:color="D9E2EE" w:sz="4"/>
              <w:bottom w:val="single" w:color="D9E2EE" w:sz="4"/>
              <w:right w:val="single" w:color="D9E2EE" w:sz="4"/>
            </w:tcBorders>
            <w:shd w:fill="D9E2EE" w:val="clear"/>
            <w:tcMar>
              <w:top w:type="dxa" w:w="80"/>
              <w:left w:type="dxa" w:w="140"/>
              <w:bottom w:type="dxa" w:w="80"/>
              <w:right w:type="dxa" w:w="140"/>
            </w:tcMar>
          </w:tcPr>
          <w:p>
            <w:r>
              <w:rPr>
                <w:rFonts w:ascii="Arial" w:cs="Arial" w:eastAsia="Arial" w:hAnsi="Arial"/>
                <w:b/>
                <w:bCs/>
                <w:color w:val="1B2E4B"/>
                <w:sz w:val="20"/>
                <w:szCs w:val="20"/>
              </w:rPr>
              <w:t xml:space="preserve"/>
            </w:r>
          </w:p>
        </w:tc>
        <w:tc>
          <w:tcPr>
            <w:tcW w:type="dxa" w:w="4160"/>
            <w:tcBorders>
              <w:top w:val="single" w:color="D9E2EE" w:sz="4"/>
              <w:left w:val="single" w:color="D9E2EE" w:sz="4"/>
              <w:bottom w:val="single" w:color="D9E2EE" w:sz="4"/>
              <w:right w:val="single" w:color="D9E2EE" w:sz="4"/>
            </w:tcBorders>
            <w:shd w:fill="D9E2EE" w:val="clear"/>
            <w:tcMar>
              <w:top w:type="dxa" w:w="80"/>
              <w:left w:type="dxa" w:w="140"/>
              <w:bottom w:type="dxa" w:w="80"/>
              <w:right w:type="dxa" w:w="140"/>
            </w:tcMar>
          </w:tcPr>
          <w:p>
            <w:r>
              <w:rPr>
                <w:rFonts w:ascii="Arial" w:cs="Arial" w:eastAsia="Arial" w:hAnsi="Arial"/>
                <w:b/>
                <w:bCs/>
                <w:color w:val="1B2E4B"/>
                <w:sz w:val="20"/>
                <w:szCs w:val="20"/>
              </w:rPr>
              <w:t xml:space="preserve">AMC Sub-total (pre-GST)</w:t>
            </w:r>
          </w:p>
        </w:tc>
        <w:tc>
          <w:tcPr>
            <w:tcW w:type="dxa" w:w="2400"/>
            <w:tcBorders>
              <w:top w:val="single" w:color="D9E2EE" w:sz="4"/>
              <w:left w:val="single" w:color="D9E2EE" w:sz="4"/>
              <w:bottom w:val="single" w:color="D9E2EE" w:sz="4"/>
              <w:right w:val="single" w:color="D9E2EE" w:sz="4"/>
            </w:tcBorders>
            <w:shd w:fill="D9E2EE" w:val="clear"/>
            <w:tcMar>
              <w:top w:type="dxa" w:w="80"/>
              <w:left w:type="dxa" w:w="140"/>
              <w:bottom w:type="dxa" w:w="80"/>
              <w:right w:type="dxa" w:w="140"/>
            </w:tcMar>
          </w:tcPr>
          <w:p>
            <w:r>
              <w:rPr>
                <w:rFonts w:ascii="Arial" w:cs="Arial" w:eastAsia="Arial" w:hAnsi="Arial"/>
                <w:b/>
                <w:bCs/>
                <w:color w:val="1B2E4B"/>
                <w:sz w:val="20"/>
                <w:szCs w:val="20"/>
              </w:rPr>
              <w:t xml:space="preserve">₹63,000</w:t>
            </w:r>
          </w:p>
        </w:tc>
      </w:tr>
      <w:tr>
        <w:tc>
          <w:tcPr>
            <w:tcW w:type="dxa" w:w="28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
            </w:r>
          </w:p>
        </w:tc>
        <w:tc>
          <w:tcPr>
            <w:tcW w:type="dxa" w:w="41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GST @ 18%</w:t>
            </w:r>
          </w:p>
        </w:tc>
        <w:tc>
          <w:tcPr>
            <w:tcW w:type="dxa" w:w="2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₹11,340</w:t>
            </w:r>
          </w:p>
        </w:tc>
      </w:tr>
      <w:tr>
        <w:tc>
          <w:tcPr>
            <w:tcW w:type="dxa" w:w="28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
            </w:r>
          </w:p>
        </w:tc>
        <w:tc>
          <w:tcPr>
            <w:tcW w:type="dxa" w:w="41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TOTAL AMC (per year, incl. GST)</w:t>
            </w:r>
          </w:p>
        </w:tc>
        <w:tc>
          <w:tcPr>
            <w:tcW w:type="dxa" w:w="24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₹74,340</w:t>
            </w:r>
          </w:p>
        </w:tc>
      </w:tr>
    </w:tbl>
    <w:p>
      <w:pPr>
        <w:spacing w:after="200" w:before="0"/>
      </w:pPr>
    </w:p>
    <w:p>
      <w:pPr>
        <w:pStyle w:val="Heading2"/>
        <w:spacing w:after="80" w:before="240"/>
      </w:pPr>
      <w:r>
        <w:rPr>
          <w:rFonts w:ascii="Arial" w:cs="Arial" w:eastAsia="Arial" w:hAnsi="Arial"/>
          <w:b/>
          <w:bCs/>
          <w:color w:val="1B2E4B"/>
          <w:sz w:val="24"/>
          <w:szCs w:val="24"/>
        </w:rPr>
        <w:t xml:space="preserve">7.3  Three-Year Total Cost of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3"/>
        <w:gridCol w:w="2053"/>
        <w:gridCol w:w="2054"/>
      </w:tblGrid>
      <w:tr>
        <w:trPr>
          <w:tblHeader/>
        </w:trPr>
        <w:tc>
          <w:tcPr>
            <w:tcW w:type="dxa" w:w="32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Cost Head</w:t>
            </w:r>
          </w:p>
        </w:tc>
        <w:tc>
          <w:tcPr>
            <w:tcW w:type="dxa" w:w="2053"/>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Year 1</w:t>
            </w:r>
          </w:p>
        </w:tc>
        <w:tc>
          <w:tcPr>
            <w:tcW w:type="dxa" w:w="2053"/>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Year 2</w:t>
            </w:r>
          </w:p>
        </w:tc>
        <w:tc>
          <w:tcPr>
            <w:tcW w:type="dxa" w:w="2054"/>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Year 3</w:t>
            </w:r>
          </w:p>
        </w:tc>
      </w:tr>
      <w:tr>
        <w:tc>
          <w:tcPr>
            <w:tcW w:type="dxa" w:w="32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One-Time Licence &amp; Deployment (incl. GST)</w:t>
            </w:r>
          </w:p>
        </w:tc>
        <w:tc>
          <w:tcPr>
            <w:tcW w:type="dxa" w:w="2053"/>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₹4,95,600</w:t>
            </w:r>
          </w:p>
        </w:tc>
        <w:tc>
          <w:tcPr>
            <w:tcW w:type="dxa" w:w="2053"/>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2054"/>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w:t>
            </w:r>
          </w:p>
        </w:tc>
      </w:tr>
      <w:tr>
        <w:tc>
          <w:tcPr>
            <w:tcW w:type="dxa" w:w="32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Annual Maintenance Contract (incl. GST)</w:t>
            </w:r>
          </w:p>
        </w:tc>
        <w:tc>
          <w:tcPr>
            <w:tcW w:type="dxa" w:w="2053"/>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₹74,340</w:t>
            </w:r>
          </w:p>
        </w:tc>
        <w:tc>
          <w:tcPr>
            <w:tcW w:type="dxa" w:w="2053"/>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₹74,340</w:t>
            </w:r>
          </w:p>
        </w:tc>
        <w:tc>
          <w:tcPr>
            <w:tcW w:type="dxa" w:w="2054"/>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₹74,340</w:t>
            </w:r>
          </w:p>
        </w:tc>
      </w:tr>
      <w:tr>
        <w:tc>
          <w:tcPr>
            <w:tcW w:type="dxa" w:w="32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Total Cost of Ownership</w:t>
            </w:r>
          </w:p>
        </w:tc>
        <w:tc>
          <w:tcPr>
            <w:tcW w:type="dxa" w:w="2053"/>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₹5,69,940</w:t>
            </w:r>
          </w:p>
        </w:tc>
        <w:tc>
          <w:tcPr>
            <w:tcW w:type="dxa" w:w="2053"/>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₹74,340</w:t>
            </w:r>
          </w:p>
        </w:tc>
        <w:tc>
          <w:tcPr>
            <w:tcW w:type="dxa" w:w="2054"/>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tcPr>
          <w:p>
            <w:r>
              <w:rPr>
                <w:rFonts w:ascii="Arial" w:cs="Arial" w:eastAsia="Arial" w:hAnsi="Arial"/>
                <w:b/>
                <w:bCs/>
                <w:color w:val="FFFFFF"/>
                <w:sz w:val="21"/>
                <w:szCs w:val="21"/>
              </w:rPr>
              <w:t xml:space="preserve">₹74,340</w:t>
            </w:r>
          </w:p>
        </w:tc>
      </w:tr>
    </w:tbl>
    <w:p>
      <w:pPr>
        <w:spacing w:after="120" w:before="0"/>
      </w:pPr>
    </w:p>
    <w:p>
      <w:pPr>
        <w:spacing w:after="80" w:before="0"/>
      </w:pPr>
      <w:r>
        <w:rPr>
          <w:rFonts w:ascii="Arial" w:cs="Arial" w:eastAsia="Arial" w:hAnsi="Arial"/>
          <w:i/>
          <w:iCs/>
          <w:color w:val="5A6A80"/>
          <w:sz w:val="20"/>
          <w:szCs w:val="20"/>
        </w:rPr>
        <w:t xml:space="preserve">Payment terms: 50% on purchase order, 25% on go-live, 25% on completion of training. AMC payable annually in advance.</w:t>
      </w:r>
    </w:p>
    <w:p>
      <w:r>
        <w:br w:type="page"/>
      </w:r>
    </w:p>
    <w:p>
      <w:pPr>
        <w:pStyle w:val="Heading1"/>
        <w:pBdr>
          <w:bottom w:val="single" w:color="C8960C" w:sz="12"/>
        </w:pBdr>
        <w:spacing w:after="120" w:before="360"/>
      </w:pPr>
      <w:r>
        <w:rPr>
          <w:rFonts w:ascii="Arial" w:cs="Arial" w:eastAsia="Arial" w:hAnsi="Arial"/>
          <w:b/>
          <w:bCs/>
          <w:color w:val="1B2E4B"/>
          <w:sz w:val="28"/>
          <w:szCs w:val="28"/>
        </w:rPr>
        <w:t xml:space="preserve">7.  Value for Money — Cost Justification</w:t>
      </w:r>
    </w:p>
    <w:p>
      <w:pPr>
        <w:pStyle w:val="Heading2"/>
        <w:spacing w:after="80" w:before="240"/>
      </w:pPr>
      <w:r>
        <w:rPr>
          <w:rFonts w:ascii="Arial" w:cs="Arial" w:eastAsia="Arial" w:hAnsi="Arial"/>
          <w:b/>
          <w:bCs/>
          <w:color w:val="1B2E4B"/>
          <w:sz w:val="24"/>
          <w:szCs w:val="24"/>
        </w:rPr>
        <w:t xml:space="preserve">8.1  Officer Time Savings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Parameter</w:t>
            </w:r>
          </w:p>
        </w:tc>
        <w:tc>
          <w:tcPr>
            <w:tcW w:type="dxa" w:w="34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Assumption</w:t>
            </w:r>
          </w:p>
        </w:tc>
        <w:tc>
          <w:tcPr>
            <w:tcW w:type="dxa" w:w="29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Annual Figure</w:t>
            </w:r>
          </w:p>
        </w:tc>
      </w:tr>
      <w:tr>
        <w:tc>
          <w:tcPr>
            <w:tcW w:type="dxa" w:w="3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Manifests per day</w:t>
            </w:r>
          </w:p>
        </w:tc>
        <w:tc>
          <w:tcPr>
            <w:tcW w:type="dxa" w:w="3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5 (across multiple airlines)</w:t>
            </w:r>
          </w:p>
        </w:tc>
        <w:tc>
          <w:tcPr>
            <w:tcW w:type="dxa" w:w="29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1,250 / year</w:t>
            </w:r>
          </w:p>
        </w:tc>
      </w:tr>
      <w:tr>
        <w:tc>
          <w:tcPr>
            <w:tcW w:type="dxa" w:w="3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Average rows per manifest</w:t>
            </w:r>
          </w:p>
        </w:tc>
        <w:tc>
          <w:tcPr>
            <w:tcW w:type="dxa" w:w="3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200 passengers</w:t>
            </w:r>
          </w:p>
        </w:tc>
        <w:tc>
          <w:tcPr>
            <w:tcW w:type="dxa" w:w="29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2,50,000 rows / year</w:t>
            </w:r>
          </w:p>
        </w:tc>
      </w:tr>
      <w:tr>
        <w:tc>
          <w:tcPr>
            <w:tcW w:type="dxa" w:w="3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Manual review time per row</w:t>
            </w:r>
          </w:p>
        </w:tc>
        <w:tc>
          <w:tcPr>
            <w:tcW w:type="dxa" w:w="3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15 min per manifest (download, VLOOKUP, review, log)</w:t>
            </w:r>
          </w:p>
        </w:tc>
        <w:tc>
          <w:tcPr>
            <w:tcW w:type="dxa" w:w="29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w:t>
            </w:r>
          </w:p>
        </w:tc>
      </w:tr>
      <w:tr>
        <w:tc>
          <w:tcPr>
            <w:tcW w:type="dxa" w:w="3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Total manual review time</w:t>
            </w:r>
          </w:p>
        </w:tc>
        <w:tc>
          <w:tcPr>
            <w:tcW w:type="dxa" w:w="3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29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~375 hours / year</w:t>
            </w:r>
          </w:p>
        </w:tc>
      </w:tr>
      <w:tr>
        <w:tc>
          <w:tcPr>
            <w:tcW w:type="dxa" w:w="3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Effective officer cost</w:t>
            </w:r>
          </w:p>
        </w:tc>
        <w:tc>
          <w:tcPr>
            <w:tcW w:type="dxa" w:w="3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₹300 / hour (clerical staff at ~₹30,000/month incl. overheads)</w:t>
            </w:r>
          </w:p>
        </w:tc>
        <w:tc>
          <w:tcPr>
            <w:tcW w:type="dxa" w:w="29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w:t>
            </w:r>
          </w:p>
        </w:tc>
      </w:tr>
      <w:tr>
        <w:tc>
          <w:tcPr>
            <w:tcW w:type="dxa" w:w="3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Annual productivity cost (manual)</w:t>
            </w:r>
          </w:p>
        </w:tc>
        <w:tc>
          <w:tcPr>
            <w:tcW w:type="dxa" w:w="3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29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₹1,12,500 / year</w:t>
            </w:r>
          </w:p>
        </w:tc>
      </w:tr>
      <w:tr>
        <w:tc>
          <w:tcPr>
            <w:tcW w:type="dxa" w:w="3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Time saving with Manifest Watch</w:t>
            </w:r>
          </w:p>
        </w:tc>
        <w:tc>
          <w:tcPr>
            <w:tcW w:type="dxa" w:w="34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PDF, CSV, Excel all parsed automatically; phone/name variants caught; VLOOKUP blind spots eliminated</w:t>
            </w:r>
          </w:p>
        </w:tc>
        <w:tc>
          <w:tcPr>
            <w:tcW w:type="dxa" w:w="29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~355 hours reclaimed annually</w:t>
            </w:r>
          </w:p>
        </w:tc>
      </w:tr>
      <w:tr>
        <w:tc>
          <w:tcPr>
            <w:tcW w:type="dxa" w:w="3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Annual productivity value saved</w:t>
            </w:r>
          </w:p>
        </w:tc>
        <w:tc>
          <w:tcPr>
            <w:tcW w:type="dxa" w:w="34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29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~₹1,06,500 / year</w:t>
            </w:r>
          </w:p>
        </w:tc>
      </w:tr>
    </w:tbl>
    <w:p>
      <w:pPr>
        <w:spacing w:after="160" w:before="0"/>
      </w:pPr>
    </w:p>
    <w:p>
      <w:pPr>
        <w:spacing w:after="120" w:before="0"/>
      </w:pPr>
    </w:p>
    <w:p>
      <w:pPr>
        <w:pStyle w:val="ListParagraph"/>
        <w:numPr>
          <w:ilvl w:val="0"/>
          <w:numId w:val="2"/>
        </w:numPr>
        <w:spacing w:after="80" w:before="0"/>
      </w:pPr>
      <w:r>
        <w:rPr>
          <w:rFonts w:ascii="Arial" w:cs="Arial" w:eastAsia="Arial" w:hAnsi="Arial"/>
          <w:color w:val="1A1A2E"/>
          <w:sz w:val="22"/>
          <w:szCs w:val="22"/>
        </w:rPr>
        <w:t xml:space="preserve">Clerical staff time recovered: ~₹1,06,500 per year in manifest handling hours (clerical grade, ~₹30,000/month). This alone covers the AMC cost (₹74,340/year) with approximately ₹32,000 to spare.</w:t>
      </w:r>
    </w:p>
    <w:p>
      <w:pPr>
        <w:pStyle w:val="ListParagraph"/>
        <w:numPr>
          <w:ilvl w:val="0"/>
          <w:numId w:val="2"/>
        </w:numPr>
        <w:spacing w:after="80" w:before="0"/>
      </w:pPr>
      <w:r>
        <w:rPr>
          <w:rFonts w:ascii="Arial" w:cs="Arial" w:eastAsia="Arial" w:hAnsi="Arial"/>
          <w:color w:val="1A1A2E"/>
          <w:sz w:val="22"/>
          <w:szCs w:val="22"/>
        </w:rPr>
        <w:t xml:space="preserve">PDF manifests are currently unscreened. Every PDF received today goes unchecked against the blacklist. Manifest Watch closes this gap from day one.</w:t>
      </w:r>
    </w:p>
    <w:p>
      <w:pPr>
        <w:pStyle w:val="ListParagraph"/>
        <w:numPr>
          <w:ilvl w:val="0"/>
          <w:numId w:val="2"/>
        </w:numPr>
        <w:spacing w:after="80" w:before="0"/>
      </w:pPr>
      <w:r>
        <w:rPr>
          <w:rFonts w:ascii="Arial" w:cs="Arial" w:eastAsia="Arial" w:hAnsi="Arial"/>
          <w:color w:val="1A1A2E"/>
          <w:sz w:val="22"/>
          <w:szCs w:val="22"/>
        </w:rPr>
        <w:t xml:space="preserve">Passenger history database: begins accumulating from the first day of operation. Within months DRI has a cross-airline, cross-manifest travel record that no manual process can produce retroactively.</w:t>
      </w:r>
    </w:p>
    <w:p>
      <w:pPr>
        <w:pStyle w:val="ListParagraph"/>
        <w:numPr>
          <w:ilvl w:val="0"/>
          <w:numId w:val="2"/>
        </w:numPr>
        <w:spacing w:after="80" w:before="0"/>
      </w:pPr>
      <w:r>
        <w:rPr>
          <w:rFonts w:ascii="Arial" w:cs="Arial" w:eastAsia="Arial" w:hAnsi="Arial"/>
          <w:color w:val="1A1A2E"/>
          <w:sz w:val="22"/>
          <w:szCs w:val="22"/>
        </w:rPr>
        <w:t xml:space="preserve">Alert latency reduced from hours or days to seconds. A pre-departure manifest matched against the blacklist in real time gives officers the opportunity to act before the flight departs — a window the current process routinely misses.</w:t>
      </w:r>
    </w:p>
    <w:p>
      <w:pPr>
        <w:pStyle w:val="ListParagraph"/>
        <w:numPr>
          <w:ilvl w:val="0"/>
          <w:numId w:val="2"/>
        </w:numPr>
        <w:spacing w:after="80" w:before="0"/>
      </w:pPr>
      <w:r>
        <w:rPr>
          <w:rFonts w:ascii="Arial" w:cs="Arial" w:eastAsia="Arial" w:hAnsi="Arial"/>
          <w:color w:val="1A1A2E"/>
          <w:sz w:val="22"/>
          <w:szCs w:val="22"/>
        </w:rPr>
        <w:t xml:space="preserve">Defensible audit record created automatically. Every match, every manifest processed, every alert generated is timestamped and retrievable. This supports enforcement actions, internal accountability, and any departmental inquiry.</w:t>
      </w:r>
    </w:p>
    <w:p>
      <w:pPr>
        <w:pStyle w:val="ListParagraph"/>
        <w:numPr>
          <w:ilvl w:val="0"/>
          <w:numId w:val="2"/>
        </w:numPr>
        <w:spacing w:after="80" w:before="0"/>
      </w:pPr>
      <w:r>
        <w:rPr>
          <w:rFonts w:ascii="Arial" w:cs="Arial" w:eastAsia="Arial" w:hAnsi="Arial"/>
          <w:color w:val="1A1A2E"/>
          <w:sz w:val="22"/>
          <w:szCs w:val="22"/>
        </w:rPr>
        <w:t xml:space="preserve">A single interception that would otherwise have been missed — enabled by PDF parsing, a history query, or a timely automated alert — recovers the full system cost. The one-time investment is ₹4,95,600; the value of one missed interception is many times that.</w:t>
      </w:r>
    </w:p>
    <w:p>
      <w:pPr>
        <w:spacing w:after="120" w:before="0"/>
      </w:pPr>
    </w:p>
    <w:p>
      <w:pPr>
        <w:spacing w:after="200" w:before="0"/>
      </w:pPr>
    </w:p>
    <w:p>
      <w:pPr>
        <w:pStyle w:val="Heading2"/>
        <w:spacing w:after="80" w:before="240"/>
      </w:pPr>
      <w:r>
        <w:rPr>
          <w:rFonts w:ascii="Arial" w:cs="Arial" w:eastAsia="Arial" w:hAnsi="Arial"/>
          <w:b/>
          <w:bCs/>
          <w:color w:val="1B2E4B"/>
          <w:sz w:val="24"/>
          <w:szCs w:val="24"/>
        </w:rPr>
        <w:t xml:space="preserve">8.2  Risk Mitigation</w:t>
      </w:r>
    </w:p>
    <w:p>
      <w:pPr>
        <w:spacing w:after="120" w:before="0"/>
      </w:pPr>
      <w:r>
        <w:rPr>
          <w:rFonts w:ascii="Arial" w:cs="Arial" w:eastAsia="Arial" w:hAnsi="Arial"/>
          <w:color w:val="1A1A2E"/>
          <w:sz w:val="22"/>
          <w:szCs w:val="22"/>
        </w:rPr>
        <w:t xml:space="preserve">The four operational gaps addressed by Manifest Watch — PDF manifests going unscreened, monitoring dependent on an officer being at their desk, no accumulated passenger history, and match findings communicated informally — each independently create conditions for a blacklisted individual to pass through undetected. The combined risk is not theoretical; it is a function of the current workflow. A single interception missed as a result carries consequences — evidentiary, operational, and reputational — that far exceed the cost of this system.</w:t>
      </w:r>
    </w:p>
    <w:p>
      <w:pPr>
        <w:spacing w:after="120" w:before="0"/>
      </w:pPr>
    </w:p>
    <w:p>
      <w:pPr>
        <w:pStyle w:val="Heading2"/>
        <w:spacing w:after="80" w:before="240"/>
      </w:pPr>
      <w:r>
        <w:rPr>
          <w:rFonts w:ascii="Arial" w:cs="Arial" w:eastAsia="Arial" w:hAnsi="Arial"/>
          <w:b/>
          <w:bCs/>
          <w:color w:val="1B2E4B"/>
          <w:sz w:val="24"/>
          <w:szCs w:val="24"/>
        </w:rPr>
        <w:t xml:space="preserve">8.3  Comparison to Alternatives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Approach</w:t>
            </w:r>
          </w:p>
        </w:tc>
        <w:tc>
          <w:tcPr>
            <w:tcW w:type="dxa" w:w="22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Estimated Year 1 Cost</w:t>
            </w:r>
          </w:p>
        </w:tc>
        <w:tc>
          <w:tcPr>
            <w:tcW w:type="dxa" w:w="43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Key Limitations</w:t>
            </w:r>
          </w:p>
        </w:tc>
      </w:tr>
      <w:tr>
        <w:tc>
          <w:tcPr>
            <w:tcW w:type="dxa" w:w="28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Additional headcount (2 officers)</w:t>
            </w:r>
          </w:p>
        </w:tc>
        <w:tc>
          <w:tcPr>
            <w:tcW w:type="dxa" w:w="22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~₹22 lakh/year</w:t>
            </w:r>
          </w:p>
        </w:tc>
        <w:tc>
          <w:tcPr>
            <w:tcW w:type="dxa" w:w="43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Still manual; not scalable; HR attrition risk</w:t>
            </w:r>
          </w:p>
        </w:tc>
      </w:tr>
      <w:tr>
        <w:tc>
          <w:tcPr>
            <w:tcW w:type="dxa" w:w="28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Enterprise hosted platform</w:t>
            </w:r>
          </w:p>
        </w:tc>
        <w:tc>
          <w:tcPr>
            <w:tcW w:type="dxa" w:w="22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₹8–15 lakh/year (subscription)</w:t>
            </w:r>
          </w:p>
        </w:tc>
        <w:tc>
          <w:tcPr>
            <w:tcW w:type="dxa" w:w="43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Data leaves DRI; subscription dependency; vendor lock-in</w:t>
            </w:r>
          </w:p>
        </w:tc>
      </w:tr>
      <w:tr>
        <w:tc>
          <w:tcPr>
            <w:tcW w:type="dxa" w:w="28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Custom outsourced development</w:t>
            </w:r>
          </w:p>
        </w:tc>
        <w:tc>
          <w:tcPr>
            <w:tcW w:type="dxa" w:w="22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₹8–20 lakh one-time + ongoing AMC</w:t>
            </w:r>
          </w:p>
        </w:tc>
        <w:tc>
          <w:tcPr>
            <w:tcW w:type="dxa" w:w="43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Long timelines; no domain expertise; ongoing support dependency</w:t>
            </w:r>
          </w:p>
        </w:tc>
      </w:tr>
      <w:tr>
        <w:tc>
          <w:tcPr>
            <w:tcW w:type="dxa" w:w="28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Manifest Watch (this proposal)</w:t>
            </w:r>
          </w:p>
        </w:tc>
        <w:tc>
          <w:tcPr>
            <w:tcW w:type="dxa" w:w="22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₹5,69,940 (Year 1 all-in)</w:t>
            </w:r>
          </w:p>
        </w:tc>
        <w:tc>
          <w:tcPr>
            <w:tcW w:type="dxa" w:w="43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Nil — purpose-built, locally deployed, full source code ownership</w:t>
            </w:r>
          </w:p>
        </w:tc>
      </w:tr>
    </w:tbl>
    <w:p>
      <w:r>
        <w:br w:type="page"/>
      </w:r>
    </w:p>
    <w:p>
      <w:pPr>
        <w:pStyle w:val="Heading1"/>
        <w:pBdr>
          <w:bottom w:val="single" w:color="C8960C" w:sz="12"/>
        </w:pBdr>
        <w:spacing w:after="120" w:before="360"/>
      </w:pPr>
      <w:r>
        <w:rPr>
          <w:rFonts w:ascii="Arial" w:cs="Arial" w:eastAsia="Arial" w:hAnsi="Arial"/>
          <w:b/>
          <w:bCs/>
          <w:color w:val="1B2E4B"/>
          <w:sz w:val="28"/>
          <w:szCs w:val="28"/>
        </w:rPr>
        <w:t xml:space="preserve">8.  Implementation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3680"/>
        <w:gridCol w:w="2480"/>
      </w:tblGrid>
      <w:tr>
        <w:trPr>
          <w:tblHeader/>
        </w:trPr>
        <w:tc>
          <w:tcPr>
            <w:tcW w:type="dxa" w:w="20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Phase</w:t>
            </w:r>
          </w:p>
        </w:tc>
        <w:tc>
          <w:tcPr>
            <w:tcW w:type="dxa" w:w="12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Week</w:t>
            </w:r>
          </w:p>
        </w:tc>
        <w:tc>
          <w:tcPr>
            <w:tcW w:type="dxa" w:w="368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Activities</w:t>
            </w:r>
          </w:p>
        </w:tc>
        <w:tc>
          <w:tcPr>
            <w:tcW w:type="dxa" w:w="248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Deliverables</w:t>
            </w:r>
          </w:p>
        </w:tc>
      </w:tr>
      <w:tr>
        <w:tc>
          <w:tcPr>
            <w:tcW w:type="dxa" w:w="2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Phase 1 — Setup</w:t>
            </w:r>
          </w:p>
        </w:tc>
        <w:tc>
          <w:tcPr>
            <w:tcW w:type="dxa" w:w="12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Week 1</w:t>
            </w:r>
          </w:p>
        </w:tc>
        <w:tc>
          <w:tcPr>
            <w:tcW w:type="dxa" w:w="368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Server provisioning
Database init
Email mailbox config
Blacklist data import</w:t>
            </w:r>
          </w:p>
        </w:tc>
        <w:tc>
          <w:tcPr>
            <w:tcW w:type="dxa" w:w="248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System live on DRI hardware
Email watcher active</w:t>
            </w:r>
          </w:p>
        </w:tc>
      </w:tr>
      <w:tr>
        <w:tc>
          <w:tcPr>
            <w:tcW w:type="dxa" w:w="2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Phase 2 — Integration &amp; UAT</w:t>
            </w:r>
          </w:p>
        </w:tc>
        <w:tc>
          <w:tcPr>
            <w:tcW w:type="dxa" w:w="12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Weeks 2–3</w:t>
            </w:r>
          </w:p>
        </w:tc>
        <w:tc>
          <w:tcPr>
            <w:tcW w:type="dxa" w:w="368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Parser config (6E, IX, TG)
End-to-end manifest test
Blacklist match validation
User acceptance testing</w:t>
            </w:r>
          </w:p>
        </w:tc>
        <w:tc>
          <w:tcPr>
            <w:tcW w:type="dxa" w:w="248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UAT sign-off
Live alert from real manifest</w:t>
            </w:r>
          </w:p>
        </w:tc>
      </w:tr>
      <w:tr>
        <w:tc>
          <w:tcPr>
            <w:tcW w:type="dxa" w:w="2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Phase 3 — Training &amp; Go-Live</w:t>
            </w:r>
          </w:p>
        </w:tc>
        <w:tc>
          <w:tcPr>
            <w:tcW w:type="dxa" w:w="12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Week 4</w:t>
            </w:r>
          </w:p>
        </w:tc>
        <w:tc>
          <w:tcPr>
            <w:tcW w:type="dxa" w:w="368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Operator training (Day 1)
Administrator training (Day 2)
Go-live + 48 h monitoring
Documentation handover</w:t>
            </w:r>
          </w:p>
        </w:tc>
        <w:tc>
          <w:tcPr>
            <w:tcW w:type="dxa" w:w="248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Trained DRI staff
System in production</w:t>
            </w:r>
          </w:p>
        </w:tc>
      </w:tr>
    </w:tbl>
    <w:p>
      <w:r>
        <w:br w:type="page"/>
      </w:r>
    </w:p>
    <w:p>
      <w:pPr>
        <w:pStyle w:val="Heading1"/>
        <w:pBdr>
          <w:bottom w:val="single" w:color="C8960C" w:sz="12"/>
        </w:pBdr>
        <w:spacing w:after="120" w:before="360"/>
      </w:pPr>
      <w:r>
        <w:rPr>
          <w:rFonts w:ascii="Arial" w:cs="Arial" w:eastAsia="Arial" w:hAnsi="Arial"/>
          <w:b/>
          <w:bCs/>
          <w:color w:val="1B2E4B"/>
          <w:sz w:val="28"/>
          <w:szCs w:val="28"/>
        </w:rPr>
        <w:t xml:space="preserve">9.  Support &amp; Service Level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200"/>
        <w:gridCol w:w="2160"/>
      </w:tblGrid>
      <w:tr>
        <w:trPr>
          <w:tblHeader/>
        </w:trPr>
        <w:tc>
          <w:tcPr>
            <w:tcW w:type="dxa" w:w="20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Priority</w:t>
            </w:r>
          </w:p>
        </w:tc>
        <w:tc>
          <w:tcPr>
            <w:tcW w:type="dxa" w:w="30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Scenario</w:t>
            </w:r>
          </w:p>
        </w:tc>
        <w:tc>
          <w:tcPr>
            <w:tcW w:type="dxa" w:w="220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Response SLA</w:t>
            </w:r>
          </w:p>
        </w:tc>
        <w:tc>
          <w:tcPr>
            <w:tcW w:type="dxa" w:w="2160"/>
            <w:tcBorders>
              <w:top w:val="single" w:color="1B2E4B" w:sz="4"/>
              <w:left w:val="single" w:color="1B2E4B" w:sz="4"/>
              <w:bottom w:val="single" w:color="1B2E4B" w:sz="4"/>
              <w:right w:val="single" w:color="1B2E4B" w:sz="4"/>
            </w:tcBorders>
            <w:shd w:fill="1B2E4B"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Resolution SLA</w:t>
            </w:r>
          </w:p>
        </w:tc>
      </w:tr>
      <w:tr>
        <w:tc>
          <w:tcPr>
            <w:tcW w:type="dxa" w:w="2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P1 — Critical</w:t>
            </w:r>
          </w:p>
        </w:tc>
        <w:tc>
          <w:tcPr>
            <w:tcW w:type="dxa" w:w="3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System down / alerts not generating</w:t>
            </w:r>
          </w:p>
        </w:tc>
        <w:tc>
          <w:tcPr>
            <w:tcW w:type="dxa" w:w="22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4 hours</w:t>
            </w:r>
          </w:p>
        </w:tc>
        <w:tc>
          <w:tcPr>
            <w:tcW w:type="dxa" w:w="21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Next business day</w:t>
            </w:r>
          </w:p>
        </w:tc>
      </w:tr>
      <w:tr>
        <w:tc>
          <w:tcPr>
            <w:tcW w:type="dxa" w:w="2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P2 — High</w:t>
            </w:r>
          </w:p>
        </w:tc>
        <w:tc>
          <w:tcPr>
            <w:tcW w:type="dxa" w:w="3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Core feature impaired</w:t>
            </w:r>
          </w:p>
        </w:tc>
        <w:tc>
          <w:tcPr>
            <w:tcW w:type="dxa" w:w="22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8 hours</w:t>
            </w:r>
          </w:p>
        </w:tc>
        <w:tc>
          <w:tcPr>
            <w:tcW w:type="dxa" w:w="21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2 business days</w:t>
            </w:r>
          </w:p>
        </w:tc>
      </w:tr>
      <w:tr>
        <w:tc>
          <w:tcPr>
            <w:tcW w:type="dxa" w:w="2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P3 — Medium</w:t>
            </w:r>
          </w:p>
        </w:tc>
        <w:tc>
          <w:tcPr>
            <w:tcW w:type="dxa" w:w="30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Non-critical functionality</w:t>
            </w:r>
          </w:p>
        </w:tc>
        <w:tc>
          <w:tcPr>
            <w:tcW w:type="dxa" w:w="220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1 business day</w:t>
            </w:r>
          </w:p>
        </w:tc>
        <w:tc>
          <w:tcPr>
            <w:tcW w:type="dxa" w:w="2160"/>
            <w:tcBorders>
              <w:top w:val="single" w:color="D9E2EE" w:sz="4"/>
              <w:left w:val="single" w:color="D9E2EE" w:sz="4"/>
              <w:bottom w:val="single" w:color="D9E2EE" w:sz="4"/>
              <w:right w:val="single" w:color="D9E2EE" w:sz="4"/>
            </w:tcBorders>
            <w:shd w:fill="F2F5F9" w:val="clear"/>
            <w:tcMar>
              <w:top w:type="dxa" w:w="80"/>
              <w:left w:type="dxa" w:w="140"/>
              <w:bottom w:type="dxa" w:w="80"/>
              <w:right w:type="dxa" w:w="140"/>
            </w:tcMar>
          </w:tcPr>
          <w:p>
            <w:r>
              <w:rPr>
                <w:rFonts w:ascii="Arial" w:cs="Arial" w:eastAsia="Arial" w:hAnsi="Arial"/>
                <w:color w:val="1A1A2E"/>
                <w:sz w:val="20"/>
                <w:szCs w:val="20"/>
              </w:rPr>
              <w:t xml:space="preserve">5 business days</w:t>
            </w:r>
          </w:p>
        </w:tc>
      </w:tr>
      <w:tr>
        <w:tc>
          <w:tcPr>
            <w:tcW w:type="dxa" w:w="2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P4 — Low</w:t>
            </w:r>
          </w:p>
        </w:tc>
        <w:tc>
          <w:tcPr>
            <w:tcW w:type="dxa" w:w="30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Enhancements / queries</w:t>
            </w:r>
          </w:p>
        </w:tc>
        <w:tc>
          <w:tcPr>
            <w:tcW w:type="dxa" w:w="220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2 business days</w:t>
            </w:r>
          </w:p>
        </w:tc>
        <w:tc>
          <w:tcPr>
            <w:tcW w:type="dxa" w:w="2160"/>
            <w:tcBorders>
              <w:top w:val="single" w:color="D9E2EE" w:sz="4"/>
              <w:left w:val="single" w:color="D9E2EE" w:sz="4"/>
              <w:bottom w:val="single" w:color="D9E2EE" w:sz="4"/>
              <w:right w:val="single" w:color="D9E2EE" w:sz="4"/>
            </w:tcBorders>
            <w:shd w:fill="FFFFFF" w:val="clear"/>
            <w:tcMar>
              <w:top w:type="dxa" w:w="80"/>
              <w:left w:type="dxa" w:w="140"/>
              <w:bottom w:type="dxa" w:w="80"/>
              <w:right w:type="dxa" w:w="140"/>
            </w:tcMar>
          </w:tcPr>
          <w:p>
            <w:r>
              <w:rPr>
                <w:rFonts w:ascii="Arial" w:cs="Arial" w:eastAsia="Arial" w:hAnsi="Arial"/>
                <w:color w:val="1A1A2E"/>
                <w:sz w:val="20"/>
                <w:szCs w:val="20"/>
              </w:rPr>
              <w:t xml:space="preserve">As agreed</w:t>
            </w:r>
          </w:p>
        </w:tc>
      </w:tr>
    </w:tbl>
    <w:p>
      <w:pPr>
        <w:spacing w:after="160" w:before="0"/>
      </w:pPr>
    </w:p>
    <w:p>
      <w:pPr>
        <w:pStyle w:val="ListParagraph"/>
        <w:numPr>
          <w:ilvl w:val="0"/>
          <w:numId w:val="2"/>
        </w:numPr>
        <w:spacing w:after="80" w:before="0"/>
      </w:pPr>
      <w:r>
        <w:rPr>
          <w:rFonts w:ascii="Arial" w:cs="Arial" w:eastAsia="Arial" w:hAnsi="Arial"/>
          <w:color w:val="1A1A2E"/>
          <w:sz w:val="22"/>
          <w:szCs w:val="22"/>
        </w:rPr>
        <w:t xml:space="preserve">All bug fixes and security patches included in AMC at no extra cost</w:t>
      </w:r>
    </w:p>
    <w:p>
      <w:pPr>
        <w:pStyle w:val="ListParagraph"/>
        <w:numPr>
          <w:ilvl w:val="0"/>
          <w:numId w:val="2"/>
        </w:numPr>
        <w:spacing w:after="80" w:before="0"/>
      </w:pPr>
      <w:r>
        <w:rPr>
          <w:rFonts w:ascii="Arial" w:cs="Arial" w:eastAsia="Arial" w:hAnsi="Arial"/>
          <w:color w:val="1A1A2E"/>
          <w:sz w:val="22"/>
          <w:szCs w:val="22"/>
        </w:rPr>
        <w:t xml:space="preserve">New airline format support within 10 working days of written request</w:t>
      </w:r>
    </w:p>
    <w:p>
      <w:pPr>
        <w:pStyle w:val="ListParagraph"/>
        <w:numPr>
          <w:ilvl w:val="0"/>
          <w:numId w:val="2"/>
        </w:numPr>
        <w:spacing w:after="80" w:before="0"/>
      </w:pPr>
      <w:r>
        <w:rPr>
          <w:rFonts w:ascii="Arial" w:cs="Arial" w:eastAsia="Arial" w:hAnsi="Arial"/>
          <w:color w:val="1A1A2E"/>
          <w:sz w:val="22"/>
          <w:szCs w:val="22"/>
        </w:rPr>
        <w:t xml:space="preserve">Annual on-site health check visit included in AMC</w:t>
      </w:r>
    </w:p>
    <w:p>
      <w:pPr>
        <w:pStyle w:val="ListParagraph"/>
        <w:numPr>
          <w:ilvl w:val="0"/>
          <w:numId w:val="2"/>
        </w:numPr>
        <w:spacing w:after="80" w:before="0"/>
      </w:pPr>
      <w:r>
        <w:rPr>
          <w:rFonts w:ascii="Arial" w:cs="Arial" w:eastAsia="Arial" w:hAnsi="Arial"/>
          <w:color w:val="1A1A2E"/>
          <w:sz w:val="22"/>
          <w:szCs w:val="22"/>
        </w:rPr>
        <w:t xml:space="preserve">Direct telephone and email support during business hours (Mon–Fri, 09:00–17:00)</w:t>
      </w:r>
    </w:p>
    <w:p>
      <w:r>
        <w:br w:type="page"/>
      </w:r>
    </w:p>
    <w:p>
      <w:pPr>
        <w:pStyle w:val="Heading1"/>
        <w:pBdr>
          <w:bottom w:val="single" w:color="C8960C" w:sz="12"/>
        </w:pBdr>
        <w:spacing w:after="120" w:before="360"/>
      </w:pPr>
      <w:r>
        <w:rPr>
          <w:rFonts w:ascii="Arial" w:cs="Arial" w:eastAsia="Arial" w:hAnsi="Arial"/>
          <w:b/>
          <w:bCs/>
          <w:color w:val="1B2E4B"/>
          <w:sz w:val="28"/>
          <w:szCs w:val="28"/>
        </w:rPr>
        <w:t xml:space="preserve">10.  Terms &amp; Conditions</w:t>
      </w:r>
    </w:p>
    <w:p>
      <w:pPr>
        <w:pStyle w:val="Heading2"/>
        <w:spacing w:after="80" w:before="240"/>
      </w:pPr>
      <w:r>
        <w:rPr>
          <w:rFonts w:ascii="Arial" w:cs="Arial" w:eastAsia="Arial" w:hAnsi="Arial"/>
          <w:b/>
          <w:bCs/>
          <w:color w:val="1B2E4B"/>
          <w:sz w:val="24"/>
          <w:szCs w:val="24"/>
        </w:rPr>
        <w:t xml:space="preserve">11.1  Licence</w:t>
      </w:r>
    </w:p>
    <w:p>
      <w:pPr>
        <w:spacing w:after="120" w:before="0"/>
      </w:pPr>
      <w:r>
        <w:rPr>
          <w:rFonts w:ascii="Arial" w:cs="Arial" w:eastAsia="Arial" w:hAnsi="Arial"/>
          <w:color w:val="1A1A2E"/>
          <w:sz w:val="22"/>
          <w:szCs w:val="22"/>
        </w:rPr>
        <w:t xml:space="preserve">Upon full payment, DRI is granted a perpetual, non-exclusive, non-transferable licence to use, operate, and modify Manifest Watch within the licensed site. Full source code is delivered on final payment. DRI may not sub-licence, resell, or distribute the software.</w:t>
      </w:r>
    </w:p>
    <w:p>
      <w:pPr>
        <w:spacing w:after="120" w:before="0"/>
      </w:pPr>
    </w:p>
    <w:p>
      <w:pPr>
        <w:pStyle w:val="Heading2"/>
        <w:spacing w:after="80" w:before="240"/>
      </w:pPr>
      <w:r>
        <w:rPr>
          <w:rFonts w:ascii="Arial" w:cs="Arial" w:eastAsia="Arial" w:hAnsi="Arial"/>
          <w:b/>
          <w:bCs/>
          <w:color w:val="1B2E4B"/>
          <w:sz w:val="24"/>
          <w:szCs w:val="24"/>
        </w:rPr>
        <w:t xml:space="preserve">11.2  Confidentiality</w:t>
      </w:r>
    </w:p>
    <w:p>
      <w:pPr>
        <w:spacing w:after="120" w:before="0"/>
      </w:pPr>
      <w:r>
        <w:rPr>
          <w:rFonts w:ascii="Arial" w:cs="Arial" w:eastAsia="Arial" w:hAnsi="Arial"/>
          <w:color w:val="1A1A2E"/>
          <w:sz w:val="22"/>
          <w:szCs w:val="22"/>
        </w:rPr>
        <w:t xml:space="preserve">Both parties maintain confidentiality of all shared information. DRI's operational data, blacklist contents, and manifest data remain DRI's exclusive property at all times. The vendor has no access to DRI's data.</w:t>
      </w:r>
    </w:p>
    <w:p>
      <w:pPr>
        <w:spacing w:after="120" w:before="0"/>
      </w:pPr>
    </w:p>
    <w:p>
      <w:pPr>
        <w:pStyle w:val="Heading2"/>
        <w:spacing w:after="80" w:before="240"/>
      </w:pPr>
      <w:r>
        <w:rPr>
          <w:rFonts w:ascii="Arial" w:cs="Arial" w:eastAsia="Arial" w:hAnsi="Arial"/>
          <w:b/>
          <w:bCs/>
          <w:color w:val="1B2E4B"/>
          <w:sz w:val="24"/>
          <w:szCs w:val="24"/>
        </w:rPr>
        <w:t xml:space="preserve">11.3  Warranty</w:t>
      </w:r>
    </w:p>
    <w:p>
      <w:pPr>
        <w:spacing w:after="120" w:before="0"/>
      </w:pPr>
      <w:r>
        <w:rPr>
          <w:rFonts w:ascii="Arial" w:cs="Arial" w:eastAsia="Arial" w:hAnsi="Arial"/>
          <w:color w:val="1A1A2E"/>
          <w:sz w:val="22"/>
          <w:szCs w:val="22"/>
        </w:rPr>
        <w:t xml:space="preserve">Software is warranted to perform materially as described for 12 months from go-live. Defects reported within this period are rectified at no extra cost. Warranty does not cover issues from unauthorised third-party modifications.</w:t>
      </w:r>
    </w:p>
    <w:p>
      <w:pPr>
        <w:spacing w:after="120" w:before="0"/>
      </w:pPr>
    </w:p>
    <w:p>
      <w:pPr>
        <w:pStyle w:val="Heading2"/>
        <w:spacing w:after="80" w:before="240"/>
      </w:pPr>
      <w:r>
        <w:rPr>
          <w:rFonts w:ascii="Arial" w:cs="Arial" w:eastAsia="Arial" w:hAnsi="Arial"/>
          <w:b/>
          <w:bCs/>
          <w:color w:val="1B2E4B"/>
          <w:sz w:val="24"/>
          <w:szCs w:val="24"/>
        </w:rPr>
        <w:t xml:space="preserve">11.4  Liability</w:t>
      </w:r>
    </w:p>
    <w:p>
      <w:pPr>
        <w:spacing w:after="120" w:before="0"/>
      </w:pPr>
      <w:r>
        <w:rPr>
          <w:rFonts w:ascii="Arial" w:cs="Arial" w:eastAsia="Arial" w:hAnsi="Arial"/>
          <w:color w:val="1A1A2E"/>
          <w:sz w:val="22"/>
          <w:szCs w:val="22"/>
        </w:rPr>
        <w:t xml:space="preserve">Aggregate vendor liability shall not exceed total fees paid in the 12 months preceding the claim. The vendor is not liable for indirect or consequential damages.</w:t>
      </w:r>
    </w:p>
    <w:p>
      <w:pPr>
        <w:spacing w:after="120" w:before="0"/>
      </w:pPr>
    </w:p>
    <w:p>
      <w:pPr>
        <w:pStyle w:val="Heading2"/>
        <w:spacing w:after="80" w:before="240"/>
      </w:pPr>
      <w:r>
        <w:rPr>
          <w:rFonts w:ascii="Arial" w:cs="Arial" w:eastAsia="Arial" w:hAnsi="Arial"/>
          <w:b/>
          <w:bCs/>
          <w:color w:val="1B2E4B"/>
          <w:sz w:val="24"/>
          <w:szCs w:val="24"/>
        </w:rPr>
        <w:t xml:space="preserve">11.5  Governing Law</w:t>
      </w:r>
    </w:p>
    <w:p>
      <w:pPr>
        <w:spacing w:after="120" w:before="0"/>
      </w:pPr>
      <w:r>
        <w:rPr>
          <w:rFonts w:ascii="Arial" w:cs="Arial" w:eastAsia="Arial" w:hAnsi="Arial"/>
          <w:color w:val="1A1A2E"/>
          <w:sz w:val="22"/>
          <w:szCs w:val="22"/>
        </w:rPr>
        <w:t xml:space="preserve">This agreement is governed by Indian law. Disputes are subject to the exclusive jurisdiction of courts in New Delhi.</w:t>
      </w:r>
    </w:p>
    <w:p>
      <w:pPr>
        <w:spacing w:after="120" w:before="0"/>
      </w:pPr>
    </w:p>
    <w:p>
      <w:pPr>
        <w:pStyle w:val="Heading2"/>
        <w:spacing w:after="80" w:before="240"/>
      </w:pPr>
      <w:r>
        <w:rPr>
          <w:rFonts w:ascii="Arial" w:cs="Arial" w:eastAsia="Arial" w:hAnsi="Arial"/>
          <w:b/>
          <w:bCs/>
          <w:color w:val="1B2E4B"/>
          <w:sz w:val="24"/>
          <w:szCs w:val="24"/>
        </w:rPr>
        <w:t xml:space="preserve">11.6  Validity</w:t>
      </w:r>
    </w:p>
    <w:p>
      <w:pPr>
        <w:spacing w:after="120" w:before="0"/>
      </w:pPr>
      <w:r>
        <w:rPr>
          <w:rFonts w:ascii="Arial" w:cs="Arial" w:eastAsia="Arial" w:hAnsi="Arial"/>
          <w:color w:val="1A1A2E"/>
          <w:sz w:val="22"/>
          <w:szCs w:val="22"/>
        </w:rPr>
        <w:t xml:space="preserve">This proposal is valid for 90 days from the date of issue (i.e., until 5 October 2026).</w:t>
      </w:r>
    </w:p>
    <w:p>
      <w:r>
        <w:br w:type="page"/>
      </w:r>
    </w:p>
    <w:p>
      <w:pPr>
        <w:pStyle w:val="Heading1"/>
        <w:pBdr>
          <w:bottom w:val="single" w:color="C8960C" w:sz="12"/>
        </w:pBdr>
        <w:spacing w:after="120" w:before="360"/>
      </w:pPr>
      <w:r>
        <w:rPr>
          <w:rFonts w:ascii="Arial" w:cs="Arial" w:eastAsia="Arial" w:hAnsi="Arial"/>
          <w:b/>
          <w:bCs/>
          <w:color w:val="1B2E4B"/>
          <w:sz w:val="28"/>
          <w:szCs w:val="28"/>
        </w:rPr>
        <w:t xml:space="preserve">11.  Acceptance &amp; Authorised Signatory</w:t>
      </w:r>
    </w:p>
    <w:p>
      <w:pPr>
        <w:spacing w:after="120" w:before="0"/>
      </w:pPr>
      <w:r>
        <w:rPr>
          <w:rFonts w:ascii="Arial" w:cs="Arial" w:eastAsia="Arial" w:hAnsi="Arial"/>
          <w:color w:val="1A1A2E"/>
          <w:sz w:val="22"/>
          <w:szCs w:val="22"/>
        </w:rPr>
        <w:t xml:space="preserve">By signing below, both parties agree to the terms in this commercial proposal and authorise commencement of procurement proceedings.</w:t>
      </w:r>
    </w:p>
    <w:p>
      <w:pPr>
        <w:spacing w:after="3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nil" w:color="FFFFFF" w:sz="0"/>
              <w:left w:val="nil" w:color="FFFFFF" w:sz="0"/>
              <w:bottom w:val="nil" w:color="FFFFFF" w:sz="0"/>
              <w:right w:val="nil" w:color="FFFFFF" w:sz="0"/>
            </w:tcBorders>
            <w:tcMar>
              <w:top w:type="dxa" w:w="80"/>
              <w:left w:type="dxa" w:w="0"/>
              <w:bottom w:type="dxa" w:w="80"/>
              <w:right w:type="dxa" w:w="200"/>
            </w:tcMar>
          </w:tcPr>
          <w:p>
            <w:pPr>
              <w:spacing w:after="60" w:before="0"/>
            </w:pPr>
            <w:r>
              <w:rPr>
                <w:rFonts w:ascii="Arial" w:cs="Arial" w:eastAsia="Arial" w:hAnsi="Arial"/>
                <w:b/>
                <w:bCs/>
                <w:caps/>
                <w:color w:val="1B2E4B"/>
                <w:sz w:val="20"/>
                <w:szCs w:val="20"/>
              </w:rPr>
              <w:t xml:space="preserve">FOR THE VENDOR</w:t>
            </w:r>
          </w:p>
          <w:p>
            <w:pPr>
              <w:spacing w:after="400" w:before="0"/>
            </w:pPr>
          </w:p>
          <w:p>
            <w:pPr>
              <w:pBdr>
                <w:bottom w:val="single" w:color="1B2E4B" w:sz="4"/>
              </w:pBdr>
              <w:spacing w:after="40" w:before="0"/>
            </w:pPr>
          </w:p>
          <w:p>
            <w:pPr>
              <w:spacing w:after="0" w:before="60"/>
            </w:pPr>
            <w:r>
              <w:rPr>
                <w:rFonts w:ascii="Arial" w:cs="Arial" w:eastAsia="Arial" w:hAnsi="Arial"/>
                <w:b/>
                <w:bCs/>
                <w:color w:val="1A1A2E"/>
                <w:sz w:val="21"/>
                <w:szCs w:val="21"/>
              </w:rPr>
              <w:t xml:space="preserve">Tejasw Gupta</w:t>
            </w:r>
          </w:p>
          <w:p>
            <w:pPr>
              <w:spacing w:after="0" w:before="0"/>
            </w:pPr>
            <w:r>
              <w:rPr>
                <w:rFonts w:ascii="Arial" w:cs="Arial" w:eastAsia="Arial" w:hAnsi="Arial"/>
                <w:color w:val="5A6A80"/>
                <w:sz w:val="20"/>
                <w:szCs w:val="20"/>
              </w:rPr>
              <w:t xml:space="preserve">Authorised Signatory</w:t>
            </w:r>
          </w:p>
          <w:p>
            <w:pPr>
              <w:spacing w:after="0" w:before="0"/>
            </w:pPr>
            <w:r>
              <w:rPr>
                <w:rFonts w:ascii="Arial" w:cs="Arial" w:eastAsia="Arial" w:hAnsi="Arial"/>
                <w:color w:val="5A6A80"/>
                <w:sz w:val="20"/>
                <w:szCs w:val="20"/>
              </w:rPr>
              <w:t xml:space="preserve">Date: ___________________</w:t>
            </w:r>
          </w:p>
        </w:tc>
        <w:tc>
          <w:tcPr>
            <w:tcW w:type="dxa" w:w="4860"/>
            <w:tcBorders>
              <w:top w:val="nil" w:color="FFFFFF" w:sz="0"/>
              <w:left w:val="nil" w:color="FFFFFF" w:sz="0"/>
              <w:bottom w:val="nil" w:color="FFFFFF" w:sz="0"/>
              <w:right w:val="nil" w:color="FFFFFF" w:sz="0"/>
            </w:tcBorders>
            <w:tcMar>
              <w:top w:type="dxa" w:w="80"/>
              <w:left w:type="dxa" w:w="200"/>
              <w:bottom w:type="dxa" w:w="80"/>
              <w:right w:type="dxa" w:w="0"/>
            </w:tcMar>
          </w:tcPr>
          <w:p>
            <w:pPr>
              <w:spacing w:after="60" w:before="0"/>
            </w:pPr>
            <w:r>
              <w:rPr>
                <w:rFonts w:ascii="Arial" w:cs="Arial" w:eastAsia="Arial" w:hAnsi="Arial"/>
                <w:b/>
                <w:bCs/>
                <w:caps/>
                <w:color w:val="1B2E4B"/>
                <w:sz w:val="20"/>
                <w:szCs w:val="20"/>
              </w:rPr>
              <w:t xml:space="preserve">FOR DRI (PURCHASER)</w:t>
            </w:r>
          </w:p>
          <w:p>
            <w:pPr>
              <w:spacing w:after="400" w:before="0"/>
            </w:pPr>
          </w:p>
          <w:p>
            <w:pPr>
              <w:pBdr>
                <w:bottom w:val="single" w:color="1B2E4B" w:sz="4"/>
              </w:pBdr>
              <w:spacing w:after="40" w:before="0"/>
            </w:pPr>
          </w:p>
          <w:p>
            <w:pPr>
              <w:spacing w:after="0" w:before="60"/>
            </w:pPr>
            <w:r>
              <w:rPr>
                <w:rFonts w:ascii="Arial" w:cs="Arial" w:eastAsia="Arial" w:hAnsi="Arial"/>
                <w:color w:val="5A6A80"/>
                <w:sz w:val="21"/>
                <w:szCs w:val="21"/>
              </w:rPr>
              <w:t xml:space="preserve">Name: ___________________</w:t>
            </w:r>
          </w:p>
          <w:p>
            <w:pPr>
              <w:spacing w:after="0" w:before="0"/>
            </w:pPr>
            <w:r>
              <w:rPr>
                <w:rFonts w:ascii="Arial" w:cs="Arial" w:eastAsia="Arial" w:hAnsi="Arial"/>
                <w:color w:val="5A6A80"/>
                <w:sz w:val="20"/>
                <w:szCs w:val="20"/>
              </w:rPr>
              <w:t xml:space="preserve">Designation: _____________</w:t>
            </w:r>
          </w:p>
          <w:p>
            <w:pPr>
              <w:spacing w:after="0" w:before="0"/>
            </w:pPr>
            <w:r>
              <w:rPr>
                <w:rFonts w:ascii="Arial" w:cs="Arial" w:eastAsia="Arial" w:hAnsi="Arial"/>
                <w:color w:val="5A6A80"/>
                <w:sz w:val="20"/>
                <w:szCs w:val="20"/>
              </w:rPr>
              <w:t xml:space="preserve">Date: ___________________</w:t>
            </w:r>
          </w:p>
          <w:p>
            <w:pPr>
              <w:spacing w:after="0" w:before="0"/>
            </w:pPr>
            <w:r>
              <w:rPr>
                <w:rFonts w:ascii="Arial" w:cs="Arial" w:eastAsia="Arial" w:hAnsi="Arial"/>
                <w:color w:val="5A6A80"/>
                <w:sz w:val="20"/>
                <w:szCs w:val="20"/>
              </w:rPr>
              <w:t xml:space="preserve">Official Seal:</w:t>
            </w:r>
          </w:p>
        </w:tc>
      </w:tr>
    </w:tbl>
    <w:p>
      <w:pPr>
        <w:spacing w:after="400" w:before="0"/>
      </w:pPr>
    </w:p>
    <w:p>
      <w:pPr>
        <w:pBdr>
          <w:top w:val="single" w:color="C8960C" w:sz="8"/>
        </w:pBdr>
        <w:spacing w:after="0" w:before="200"/>
        <w:jc w:val="center"/>
      </w:pPr>
      <w:r>
        <w:rPr>
          <w:rFonts w:ascii="Arial" w:cs="Arial" w:eastAsia="Arial" w:hAnsi="Arial"/>
          <w:i/>
          <w:iCs/>
          <w:color w:val="5A6A80"/>
          <w:sz w:val="17"/>
          <w:szCs w:val="17"/>
        </w:rPr>
        <w:t xml:space="preserve">Manifest Watch  |  Commercial Proposal  |  July 2026  |  TG/DRI/MW/2026/01  |  CONFIDENTIAL</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2EE" w:sz="4"/>
      </w:pBdr>
      <w:spacing w:after="0" w:before="80"/>
      <w:jc w:val="center"/>
    </w:pPr>
    <w:r>
      <w:rPr>
        <w:rFonts w:ascii="Arial" w:cs="Arial" w:eastAsia="Arial" w:hAnsi="Arial"/>
        <w:color w:val="5A6A80"/>
        <w:sz w:val="18"/>
        <w:szCs w:val="18"/>
      </w:rPr>
      <w:t xml:space="preserve">Page </w:t>
    </w:r>
    <w:r>
      <w:rPr>
        <w:rFonts w:ascii="Arial" w:cs="Arial" w:eastAsia="Arial" w:hAnsi="Arial"/>
        <w:color w:val="5A6A80"/>
        <w:sz w:val="18"/>
        <w:szCs w:val="18"/>
      </w:rPr>
      <w:fldChar w:fldCharType="begin"/>
      <w:instrText xml:space="preserve">PAGE</w:instrText>
      <w:fldChar w:fldCharType="separate"/>
      <w:fldChar w:fldCharType="end"/>
    </w:r>
    <w:r>
      <w:rPr>
        <w:rFonts w:ascii="Arial" w:cs="Arial" w:eastAsia="Arial" w:hAnsi="Arial"/>
        <w:color w:val="5A6A80"/>
        <w:sz w:val="18"/>
        <w:szCs w:val="18"/>
      </w:rPr>
      <w:t xml:space="preserve"> of </w:t>
    </w:r>
    <w:r>
      <w:rPr>
        <w:rFonts w:ascii="Arial" w:cs="Arial" w:eastAsia="Arial" w:hAnsi="Arial"/>
        <w:color w:val="5A6A80"/>
        <w:sz w:val="18"/>
        <w:szCs w:val="18"/>
      </w:rPr>
      <w:fldChar w:fldCharType="begin"/>
      <w:instrText xml:space="preserve">NUMPAGES</w:instrText>
      <w:fldChar w:fldCharType="separate"/>
      <w:fldChar w:fldCharType="end"/>
    </w:r>
    <w:r>
      <w:rPr>
        <w:rFonts w:ascii="Arial" w:cs="Arial" w:eastAsia="Arial" w:hAnsi="Arial"/>
        <w:color w:val="5A6A80"/>
        <w:sz w:val="18"/>
        <w:szCs w:val="18"/>
      </w:rPr>
      <w:t xml:space="preserve">  |  Directorate of Revenue Intelligence  |  TG/DRI/MW/2026/01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960C" w:sz="6"/>
      </w:pBdr>
      <w:spacing w:after="120" w:before="0"/>
      <w:jc w:val="right"/>
    </w:pPr>
    <w:r>
      <w:rPr>
        <w:rFonts w:ascii="Arial" w:cs="Arial" w:eastAsia="Arial" w:hAnsi="Arial"/>
        <w:b/>
        <w:bCs/>
        <w:color w:val="C0392B"/>
        <w:sz w:val="18"/>
        <w:szCs w:val="18"/>
      </w:rPr>
      <w:t xml:space="preserve">CONFIDENTIAL  —  </w:t>
    </w:r>
    <w:r>
      <w:rPr>
        <w:rFonts w:ascii="Arial" w:cs="Arial" w:eastAsia="Arial" w:hAnsi="Arial"/>
        <w:color w:val="5A6A80"/>
        <w:sz w:val="18"/>
        <w:szCs w:val="18"/>
      </w:rPr>
      <w:t xml:space="preserve">Manifest Watch Commercial Proposal  |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60"/>
      </w:pPr>
      <w:rPr>
        <w:rFonts w:ascii="Arial" w:cs="Arial" w:eastAsia="Arial" w:hAnsi="Arial"/>
        <w:sz w:val="22"/>
        <w:szCs w:val="22"/>
      </w:rPr>
    </w:lvl>
  </w:abstractNum>
  <w:abstractNum w:abstractNumId="3" w15:restartNumberingAfterBreak="0">
    <w:multiLevelType w:val="hybridMultilevel"/>
    <w:lvl w:ilvl="0" w15:tentative="1">
      <w:start w:val="1"/>
      <w:numFmt w:val="decimal"/>
      <w:lvlText w:val="%1."/>
      <w:lvlJc w:val="left"/>
      <w:pPr>
        <w:ind w:left="720" w:hanging="360"/>
      </w:pPr>
      <w:rPr>
        <w:rFonts w:ascii="Arial" w:cs="Arial" w:eastAsia="Arial" w:hAnsi="Arial"/>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2E4B"/>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1B2E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Proposal — Manifest Watch</dc:title>
  <dc:creator>Tejasw Gupta</dc:creator>
  <cp:lastModifiedBy>Un-named</cp:lastModifiedBy>
  <cp:revision>1</cp:revision>
  <dcterms:created xsi:type="dcterms:W3CDTF">2026-07-06T14:08:29.071Z</dcterms:created>
  <dcterms:modified xsi:type="dcterms:W3CDTF">2026-07-06T14:08:29.072Z</dcterms:modified>
</cp:coreProperties>
</file>

<file path=docProps/custom.xml><?xml version="1.0" encoding="utf-8"?>
<Properties xmlns="http://schemas.openxmlformats.org/officeDocument/2006/custom-properties" xmlns:vt="http://schemas.openxmlformats.org/officeDocument/2006/docPropsVTypes"/>
</file>