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pBdr>
          <w:top w:val="single" w:color="C8960C" w:sz="24"/>
        </w:pBdr>
        <w:spacing w:after="40" w:before="0"/>
      </w:pPr>
    </w:p>
    <w:p>
      <w:pPr>
        <w:spacing w:after="360" w:before="0"/>
      </w:pPr>
    </w:p>
    <w:p>
      <w:pPr>
        <w:spacing w:after="160" w:before="0"/>
        <w:jc w:val="center"/>
      </w:pPr>
      <w:r>
        <w:rPr>
          <w:rFonts w:ascii="Arial" w:cs="Arial" w:eastAsia="Arial" w:hAnsi="Arial"/>
          <w:b/>
          <w:bCs/>
          <w:caps/>
          <w:color w:val="1B2E4B"/>
          <w:sz w:val="52"/>
          <w:szCs w:val="52"/>
        </w:rPr>
        <w:t xml:space="preserve">COMMERCIAL PROPOSAL</w:t>
      </w:r>
    </w:p>
    <w:p>
      <w:pPr>
        <w:spacing w:after="80" w:before="0"/>
        <w:jc w:val="center"/>
      </w:pPr>
      <w:r>
        <w:rPr>
          <w:rFonts w:ascii="Arial" w:cs="Arial" w:eastAsia="Arial" w:hAnsi="Arial"/>
          <w:b/>
          <w:bCs/>
          <w:color w:val="C8960C"/>
          <w:sz w:val="64"/>
          <w:szCs w:val="64"/>
        </w:rPr>
        <w:t xml:space="preserve">MANIFEST WATCH</w:t>
      </w:r>
    </w:p>
    <w:p>
      <w:pPr>
        <w:spacing w:after="200" w:before="0"/>
        <w:jc w:val="center"/>
      </w:pPr>
      <w:r>
        <w:rPr>
          <w:rFonts w:ascii="Arial" w:cs="Arial" w:eastAsia="Arial" w:hAnsi="Arial"/>
          <w:i/>
          <w:iCs/>
          <w:color w:val="5A6A80"/>
          <w:sz w:val="28"/>
          <w:szCs w:val="28"/>
        </w:rPr>
        <w:t xml:space="preserve">Automated Passenger Surveillance System</w:t>
      </w:r>
    </w:p>
    <w:p>
      <w:pPr>
        <w:pBdr>
          <w:bottom w:val="single" w:color="C8960C" w:sz="16"/>
        </w:pBdr>
        <w:spacing w:after="40" w:before="0"/>
        <w:jc w:val="center"/>
      </w:pPr>
    </w:p>
    <w:p>
      <w:pPr>
        <w:spacing w:after="480" w:before="0"/>
      </w:pPr>
    </w:p>
    <w:p>
      <w:pPr>
        <w:spacing w:after="80" w:before="0"/>
        <w:jc w:val="center"/>
      </w:pPr>
      <w:r>
        <w:rPr>
          <w:rFonts w:ascii="Arial" w:cs="Arial" w:eastAsia="Arial" w:hAnsi="Arial"/>
          <w:caps/>
          <w:color w:val="5A6A80"/>
          <w:sz w:val="22"/>
          <w:szCs w:val="22"/>
        </w:rPr>
        <w:t xml:space="preserve">Submitted To</w:t>
      </w:r>
    </w:p>
    <w:p>
      <w:pPr>
        <w:spacing w:after="40" w:before="0"/>
        <w:jc w:val="center"/>
      </w:pPr>
      <w:r>
        <w:rPr>
          <w:rFonts w:ascii="Arial" w:cs="Arial" w:eastAsia="Arial" w:hAnsi="Arial"/>
          <w:b/>
          <w:bCs/>
          <w:color w:val="1B2E4B"/>
          <w:sz w:val="26"/>
          <w:szCs w:val="26"/>
        </w:rPr>
        <w:t xml:space="preserve">Directorate of Revenue Intelligence (DRI)</w:t>
      </w:r>
    </w:p>
    <w:p>
      <w:pPr>
        <w:spacing w:after="40" w:before="0"/>
        <w:jc w:val="center"/>
      </w:pPr>
      <w:r>
        <w:rPr>
          <w:rFonts w:ascii="Arial" w:cs="Arial" w:eastAsia="Arial" w:hAnsi="Arial"/>
          <w:color w:val="1A1A2E"/>
          <w:sz w:val="22"/>
          <w:szCs w:val="22"/>
        </w:rPr>
        <w:t xml:space="preserve">Ministry of Finance, Government of India</w:t>
      </w:r>
    </w:p>
    <w:p>
      <w:pPr>
        <w:spacing w:after="200" w:before="0"/>
      </w:pPr>
    </w:p>
    <w:p>
      <w:pPr>
        <w:spacing w:after="80" w:before="0"/>
        <w:jc w:val="center"/>
      </w:pPr>
      <w:r>
        <w:rPr>
          <w:rFonts w:ascii="Arial" w:cs="Arial" w:eastAsia="Arial" w:hAnsi="Arial"/>
          <w:caps/>
          <w:color w:val="5A6A80"/>
          <w:sz w:val="22"/>
          <w:szCs w:val="22"/>
        </w:rPr>
        <w:t xml:space="preserve">Submitted By</w:t>
      </w:r>
    </w:p>
    <w:p>
      <w:pPr>
        <w:spacing w:after="40" w:before="0"/>
        <w:jc w:val="center"/>
      </w:pPr>
      <w:r>
        <w:rPr>
          <w:rFonts w:ascii="Arial" w:cs="Arial" w:eastAsia="Arial" w:hAnsi="Arial"/>
          <w:b/>
          <w:bCs/>
          <w:color w:val="1B2E4B"/>
          <w:sz w:val="26"/>
          <w:szCs w:val="26"/>
        </w:rPr>
        <w:t xml:space="preserve">Tejasw Gupta</w:t>
      </w:r>
    </w:p>
    <w:p>
      <w:pPr>
        <w:spacing w:after="200" w:before="0"/>
      </w:pP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tblGrid>
      <w:tr>
        <w:tc>
          <w:tcPr>
            <w:tcW w:type="dxa" w:w="2000"/>
            <w:tcBorders>
              <w:top w:val="nil" w:color="FFFFFF" w:sz="0"/>
              <w:left w:val="nil" w:color="FFFFFF" w:sz="0"/>
              <w:bottom w:val="nil" w:color="FFFFFF" w:sz="0"/>
              <w:right w:val="nil" w:color="FFFFFF" w:sz="0"/>
            </w:tcBorders>
            <w:shd w:fill="1B2E4B" w:val="clear"/>
            <w:tcMar>
              <w:top w:type="dxa" w:w="80"/>
              <w:left w:type="dxa" w:w="140"/>
              <w:bottom w:type="dxa" w:w="80"/>
              <w:right w:type="dxa" w:w="140"/>
            </w:tcMar>
          </w:tcPr>
          <w:p>
            <w:r>
              <w:rPr>
                <w:rFonts w:ascii="Arial" w:cs="Arial" w:eastAsia="Arial" w:hAnsi="Arial"/>
                <w:b/>
                <w:bCs/>
                <w:color w:val="FFFFFF"/>
                <w:sz w:val="20"/>
                <w:szCs w:val="20"/>
              </w:rPr>
              <w:t xml:space="preserve">Date</w:t>
            </w:r>
          </w:p>
        </w:tc>
        <w:tc>
          <w:tcPr>
            <w:tcW w:type="dxa" w:w="2680"/>
            <w:tcBorders>
              <w:top w:val="nil" w:color="FFFFFF" w:sz="0"/>
              <w:left w:val="nil" w:color="FFFFFF" w:sz="0"/>
              <w:bottom w:val="nil" w:color="FFFFFF" w:sz="0"/>
              <w:right w:val="nil" w:color="FFFFFF" w:sz="0"/>
            </w:tcBorders>
            <w:shd w:fill="F2F5F9" w:val="clear"/>
            <w:tcMar>
              <w:top w:type="dxa" w:w="80"/>
              <w:left w:type="dxa" w:w="140"/>
              <w:bottom w:type="dxa" w:w="80"/>
              <w:right w:type="dxa" w:w="140"/>
            </w:tcMar>
          </w:tcPr>
          <w:p>
            <w:r>
              <w:rPr>
                <w:rFonts w:ascii="Arial" w:cs="Arial" w:eastAsia="Arial" w:hAnsi="Arial"/>
                <w:color w:val="1A1A2E"/>
                <w:sz w:val="20"/>
                <w:szCs w:val="20"/>
              </w:rPr>
              <w:t xml:space="preserve">July 2026</w:t>
            </w:r>
          </w:p>
        </w:tc>
      </w:tr>
      <w:tr>
        <w:tc>
          <w:tcPr>
            <w:tcW w:type="dxa" w:w="2000"/>
            <w:tcBorders>
              <w:top w:val="nil" w:color="FFFFFF" w:sz="0"/>
              <w:left w:val="nil" w:color="FFFFFF" w:sz="0"/>
              <w:bottom w:val="nil" w:color="FFFFFF" w:sz="0"/>
              <w:right w:val="nil" w:color="FFFFFF" w:sz="0"/>
            </w:tcBorders>
            <w:shd w:fill="1B2E4B" w:val="clear"/>
            <w:tcMar>
              <w:top w:type="dxa" w:w="80"/>
              <w:left w:type="dxa" w:w="140"/>
              <w:bottom w:type="dxa" w:w="80"/>
              <w:right w:type="dxa" w:w="140"/>
            </w:tcMar>
          </w:tcPr>
          <w:p>
            <w:r>
              <w:rPr>
                <w:rFonts w:ascii="Arial" w:cs="Arial" w:eastAsia="Arial" w:hAnsi="Arial"/>
                <w:b/>
                <w:bCs/>
                <w:color w:val="FFFFFF"/>
                <w:sz w:val="20"/>
                <w:szCs w:val="20"/>
              </w:rPr>
              <w:t xml:space="preserve">Reference No.</w:t>
            </w:r>
          </w:p>
        </w:tc>
        <w:tc>
          <w:tcPr>
            <w:tcW w:type="dxa" w:w="2680"/>
            <w:tcBorders>
              <w:top w:val="nil" w:color="FFFFFF" w:sz="0"/>
              <w:left w:val="nil" w:color="FFFFFF" w:sz="0"/>
              <w:bottom w:val="nil" w:color="FFFFFF" w:sz="0"/>
              <w:right w:val="nil" w:color="FFFFFF" w:sz="0"/>
            </w:tcBorders>
            <w:shd w:fill="F2F5F9" w:val="clear"/>
            <w:tcMar>
              <w:top w:type="dxa" w:w="80"/>
              <w:left w:type="dxa" w:w="140"/>
              <w:bottom w:type="dxa" w:w="80"/>
              <w:right w:type="dxa" w:w="140"/>
            </w:tcMar>
          </w:tcPr>
          <w:p>
            <w:r>
              <w:rPr>
                <w:rFonts w:ascii="Arial" w:cs="Arial" w:eastAsia="Arial" w:hAnsi="Arial"/>
                <w:color w:val="1A1A2E"/>
                <w:sz w:val="20"/>
                <w:szCs w:val="20"/>
              </w:rPr>
              <w:t xml:space="preserve">TG/DRI/MW/2026/01</w:t>
            </w:r>
          </w:p>
        </w:tc>
      </w:tr>
      <w:tr>
        <w:tc>
          <w:tcPr>
            <w:tcW w:type="dxa" w:w="2000"/>
            <w:tcBorders>
              <w:top w:val="nil" w:color="FFFFFF" w:sz="0"/>
              <w:left w:val="nil" w:color="FFFFFF" w:sz="0"/>
              <w:bottom w:val="nil" w:color="FFFFFF" w:sz="0"/>
              <w:right w:val="nil" w:color="FFFFFF" w:sz="0"/>
            </w:tcBorders>
            <w:shd w:fill="1B2E4B" w:val="clear"/>
            <w:tcMar>
              <w:top w:type="dxa" w:w="80"/>
              <w:left w:type="dxa" w:w="140"/>
              <w:bottom w:type="dxa" w:w="80"/>
              <w:right w:type="dxa" w:w="140"/>
            </w:tcMar>
          </w:tcPr>
          <w:p>
            <w:r>
              <w:rPr>
                <w:rFonts w:ascii="Arial" w:cs="Arial" w:eastAsia="Arial" w:hAnsi="Arial"/>
                <w:b/>
                <w:bCs/>
                <w:color w:val="FFFFFF"/>
                <w:sz w:val="20"/>
                <w:szCs w:val="20"/>
              </w:rPr>
              <w:t xml:space="preserve">Classification</w:t>
            </w:r>
          </w:p>
        </w:tc>
        <w:tc>
          <w:tcPr>
            <w:tcW w:type="dxa" w:w="2680"/>
            <w:tcBorders>
              <w:top w:val="nil" w:color="FFFFFF" w:sz="0"/>
              <w:left w:val="nil" w:color="FFFFFF" w:sz="0"/>
              <w:bottom w:val="nil" w:color="FFFFFF" w:sz="0"/>
              <w:right w:val="nil" w:color="FFFFFF" w:sz="0"/>
            </w:tcBorders>
            <w:shd w:fill="F2F5F9" w:val="clear"/>
            <w:tcMar>
              <w:top w:type="dxa" w:w="80"/>
              <w:left w:type="dxa" w:w="140"/>
              <w:bottom w:type="dxa" w:w="80"/>
              <w:right w:type="dxa" w:w="140"/>
            </w:tcMar>
          </w:tcPr>
          <w:p>
            <w:r>
              <w:rPr>
                <w:rFonts w:ascii="Arial" w:cs="Arial" w:eastAsia="Arial" w:hAnsi="Arial"/>
                <w:b/>
                <w:bCs/>
                <w:color w:val="C0392B"/>
                <w:sz w:val="20"/>
                <w:szCs w:val="20"/>
              </w:rPr>
              <w:t xml:space="preserve">CONFIDENTIAL</w:t>
            </w:r>
          </w:p>
        </w:tc>
      </w:tr>
    </w:tbl>
    <w:p>
      <w:pPr>
        <w:spacing w:after="1440" w:before="0"/>
      </w:pPr>
    </w:p>
    <w:p>
      <w:pPr>
        <w:pBdr>
          <w:bottom w:val="single" w:color="1B2E4B" w:sz="8"/>
        </w:pBdr>
        <w:jc w:val="center"/>
      </w:pPr>
      <w:r>
        <w:rPr>
          <w:rFonts w:ascii="Arial" w:cs="Arial" w:eastAsia="Arial" w:hAnsi="Arial"/>
          <w:i/>
          <w:iCs/>
          <w:color w:val="5A6A80"/>
          <w:sz w:val="17"/>
          <w:szCs w:val="17"/>
        </w:rPr>
        <w:t xml:space="preserve">This document contains proprietary and confidential information. Unauthorised reproduction or distribution is strictly prohibited.</w:t>
      </w:r>
    </w:p>
    <w:p>
      <w:r>
        <w:br w:type="page"/>
      </w:r>
    </w:p>
    <w:p>
      <w:pPr>
        <w:sectPr>
          <w:pgSz w:w="11906" w:h="16838" w:orient="portrait"/>
          <w:pgMar w:top="1440" w:right="1440" w:bottom="1440" w:left="1440" w:header="708" w:footer="708" w:gutter="0"/>
          <w:pgNumType/>
          <w:docGrid w:linePitch="360"/>
        </w:sectPr>
      </w:pPr>
    </w:p>
    <w:p>
      <w:pPr>
        <w:pStyle w:val="Heading1"/>
        <w:pBdr>
          <w:bottom w:val="single" w:color="C8960C" w:sz="12"/>
        </w:pBdr>
        <w:spacing w:after="120" w:before="360"/>
      </w:pPr>
      <w:r>
        <w:rPr>
          <w:rFonts w:ascii="Arial" w:cs="Arial" w:eastAsia="Arial" w:hAnsi="Arial"/>
          <w:b/>
          <w:bCs/>
          <w:color w:val="1B2E4B"/>
          <w:sz w:val="28"/>
          <w:szCs w:val="28"/>
        </w:rPr>
        <w:t xml:space="preserve">1.  Executive Summary</w:t>
      </w:r>
    </w:p>
    <w:p>
      <w:pPr>
        <w:spacing w:after="120" w:before="0"/>
      </w:pPr>
      <w:r>
        <w:rPr>
          <w:rFonts w:ascii="Arial" w:cs="Arial" w:eastAsia="Arial" w:hAnsi="Arial"/>
          <w:color w:val="1A1A2E"/>
          <w:sz w:val="22"/>
          <w:szCs w:val="22"/>
        </w:rPr>
        <w:t xml:space="preserve">The Directorate of Revenue Intelligence (DRI) requires an efficient, reliable mechanism to cross-reference incoming airline passenger manifests against its blacklist of persons of interest. Currently this is performed manually — a time-intensive process that introduces latency, human error, and no audit trail.</w:t>
      </w:r>
    </w:p>
    <w:p>
      <w:pPr>
        <w:spacing w:after="120" w:before="0"/>
      </w:pPr>
    </w:p>
    <w:p>
      <w:pPr>
        <w:spacing w:after="120" w:before="0"/>
      </w:pPr>
      <w:r>
        <w:rPr>
          <w:rFonts w:ascii="Arial" w:cs="Arial" w:eastAsia="Arial" w:hAnsi="Arial"/>
          <w:color w:val="1A1A2E"/>
          <w:sz w:val="22"/>
          <w:szCs w:val="22"/>
        </w:rPr>
        <w:t xml:space="preserve">Manifest Watch is a purpose-built, locally-deployed software platform that fully automates manifest ingestion, parsing, blacklist matching, and alerting. It is offered under a transparent, fixed-price model: a one-time licence and deployment fee of ₹4,95,600 (inclusive of GST), plus an Annual Maintenance Contract (AMC).</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0C" w:sz="16"/>
              <w:left w:val="single" w:color="C8960C" w:sz="16"/>
              <w:bottom w:val="single" w:color="D9E2EE" w:sz="4"/>
              <w:right w:val="single" w:color="D9E2EE" w:sz="4"/>
            </w:tcBorders>
            <w:shd w:fill="EBF0F7" w:val="clear"/>
            <w:tcMar>
              <w:top w:type="dxa" w:w="140"/>
              <w:left w:type="dxa" w:w="200"/>
              <w:bottom w:type="dxa" w:w="140"/>
              <w:right w:type="dxa" w:w="200"/>
            </w:tcMar>
          </w:tcPr>
          <w:p>
            <w:pPr>
              <w:spacing w:after="80" w:before="0"/>
            </w:pPr>
            <w:r>
              <w:rPr>
                <w:rFonts w:ascii="Arial" w:cs="Arial" w:eastAsia="Arial" w:hAnsi="Arial"/>
                <w:b/>
                <w:bCs/>
                <w:caps/>
                <w:color w:val="1B2E4B"/>
                <w:sz w:val="22"/>
                <w:szCs w:val="22"/>
              </w:rPr>
              <w:t xml:space="preserve">Key Highlights</w:t>
            </w:r>
          </w:p>
          <w:p>
            <w:pPr>
              <w:spacing w:after="60" w:before="0"/>
            </w:pPr>
            <w:r>
              <w:rPr>
                <w:rFonts w:ascii="Arial" w:cs="Arial" w:eastAsia="Arial" w:hAnsi="Arial"/>
                <w:color w:val="1A1A2E"/>
                <w:sz w:val="21"/>
                <w:szCs w:val="21"/>
              </w:rPr>
              <w:t xml:space="preserve">•  Automated manifest ingestion from airline email attachments — Excel, CSV, and PDF formats</w:t>
            </w:r>
          </w:p>
          <w:p>
            <w:pPr>
              <w:spacing w:after="60" w:before="0"/>
            </w:pPr>
            <w:r>
              <w:rPr>
                <w:rFonts w:ascii="Arial" w:cs="Arial" w:eastAsia="Arial" w:hAnsi="Arial"/>
                <w:color w:val="1A1A2E"/>
                <w:sz w:val="21"/>
                <w:szCs w:val="21"/>
              </w:rPr>
              <w:t xml:space="preserve">•  Real-time cross-referencing against DRI's blacklist; alerts generated within seconds</w:t>
            </w:r>
          </w:p>
          <w:p>
            <w:pPr>
              <w:spacing w:after="60" w:before="0"/>
            </w:pPr>
            <w:r>
              <w:rPr>
                <w:rFonts w:ascii="Arial" w:cs="Arial" w:eastAsia="Arial" w:hAnsi="Arial"/>
                <w:color w:val="1A1A2E"/>
                <w:sz w:val="21"/>
                <w:szCs w:val="21"/>
              </w:rPr>
              <w:t xml:space="preserve">•  Zero cloud dependency — all data stored on DRI's own hardware, air-gap capable</w:t>
            </w:r>
          </w:p>
          <w:p>
            <w:pPr>
              <w:spacing w:after="60" w:before="0"/>
            </w:pPr>
            <w:r>
              <w:rPr>
                <w:rFonts w:ascii="Arial" w:cs="Arial" w:eastAsia="Arial" w:hAnsi="Arial"/>
                <w:color w:val="1A1A2E"/>
                <w:sz w:val="21"/>
                <w:szCs w:val="21"/>
              </w:rPr>
              <w:t xml:space="preserve">•  Full-featured web dashboard: 10+ filter dimensions, travel history, CSV export</w:t>
            </w:r>
          </w:p>
          <w:p>
            <w:pPr>
              <w:spacing w:after="60" w:before="0"/>
            </w:pPr>
            <w:r>
              <w:rPr>
                <w:rFonts w:ascii="Arial" w:cs="Arial" w:eastAsia="Arial" w:hAnsi="Arial"/>
                <w:color w:val="1A1A2E"/>
                <w:sz w:val="21"/>
                <w:szCs w:val="21"/>
              </w:rPr>
              <w:t xml:space="preserve">•  Total one-time cost ₹4,95,600 incl. GST; AMC ₹74,340 per year incl. GST</w:t>
            </w:r>
          </w:p>
          <w:p>
            <w:pPr>
              <w:spacing w:after="60" w:before="0"/>
            </w:pPr>
            <w:r>
              <w:rPr>
                <w:rFonts w:ascii="Arial" w:cs="Arial" w:eastAsia="Arial" w:hAnsi="Arial"/>
                <w:color w:val="1A1A2E"/>
                <w:sz w:val="21"/>
                <w:szCs w:val="21"/>
              </w:rPr>
              <w:t xml:space="preserve">•  Deployment-ready in 4 weeks, full training included</w:t>
            </w:r>
          </w:p>
        </w:tc>
      </w:tr>
    </w:tbl>
    <w:p>
      <w:r>
        <w:br w:type="page"/>
      </w:r>
    </w:p>
    <w:p>
      <w:pPr>
        <w:pStyle w:val="Heading1"/>
        <w:pBdr>
          <w:bottom w:val="single" w:color="C8960C" w:sz="12"/>
        </w:pBdr>
        <w:spacing w:after="120" w:before="360"/>
      </w:pPr>
      <w:r>
        <w:rPr>
          <w:rFonts w:ascii="Arial" w:cs="Arial" w:eastAsia="Arial" w:hAnsi="Arial"/>
          <w:b/>
          <w:bCs/>
          <w:color w:val="1B2E4B"/>
          <w:sz w:val="28"/>
          <w:szCs w:val="28"/>
        </w:rPr>
        <w:t xml:space="preserve">2.  Problem Statement</w:t>
      </w:r>
    </w:p>
    <w:p>
      <w:pPr>
        <w:spacing w:after="120" w:before="0"/>
      </w:pPr>
      <w:r>
        <w:rPr>
          <w:rFonts w:ascii="Arial" w:cs="Arial" w:eastAsia="Arial" w:hAnsi="Arial"/>
          <w:color w:val="1A1A2E"/>
          <w:sz w:val="22"/>
          <w:szCs w:val="22"/>
        </w:rPr>
        <w:t xml:space="preserve">DRI officers receive passenger manifest files from airlines as email attachments — Excel, CSV, and PDF documents containing names, passport numbers, contact details, PNRs, seat assignments, routes, and baggage data. Cross-checking these against the blacklist is currently a manual, officer-by-officer process.</w:t>
      </w:r>
    </w:p>
    <w:p>
      <w:pPr>
        <w:spacing w:after="120" w:before="0"/>
      </w:pPr>
    </w:p>
    <w:p>
      <w:pPr>
        <w:pStyle w:val="Heading2"/>
        <w:spacing w:after="80" w:before="240"/>
      </w:pPr>
      <w:r>
        <w:rPr>
          <w:rFonts w:ascii="Arial" w:cs="Arial" w:eastAsia="Arial" w:hAnsi="Arial"/>
          <w:b/>
          <w:bCs/>
          <w:color w:val="1B2E4B"/>
          <w:sz w:val="24"/>
          <w:szCs w:val="24"/>
        </w:rPr>
        <w:t xml:space="preserve">2.1  Current Limitations</w:t>
      </w:r>
    </w:p>
    <w:p>
      <w:pPr>
        <w:pStyle w:val="ListParagraph"/>
        <w:numPr>
          <w:ilvl w:val="0"/>
          <w:numId w:val="2"/>
        </w:numPr>
        <w:spacing w:after="80" w:before="0"/>
      </w:pPr>
      <w:r>
        <w:rPr>
          <w:rFonts w:ascii="Arial" w:cs="Arial" w:eastAsia="Arial" w:hAnsi="Arial"/>
          <w:color w:val="1A1A2E"/>
          <w:sz w:val="22"/>
          <w:szCs w:val="22"/>
        </w:rPr>
        <w:t xml:space="preserve">Slow: A manifest of 200+ passengers reviewed manually consumes 30–90 minutes per file.</w:t>
      </w:r>
    </w:p>
    <w:p>
      <w:pPr>
        <w:pStyle w:val="ListParagraph"/>
        <w:numPr>
          <w:ilvl w:val="0"/>
          <w:numId w:val="2"/>
        </w:numPr>
        <w:spacing w:after="80" w:before="0"/>
      </w:pPr>
      <w:r>
        <w:rPr>
          <w:rFonts w:ascii="Arial" w:cs="Arial" w:eastAsia="Arial" w:hAnsi="Arial"/>
          <w:color w:val="1A1A2E"/>
          <w:sz w:val="22"/>
          <w:szCs w:val="22"/>
        </w:rPr>
        <w:t xml:space="preserve">Error-prone: Name and phone-number variants (formatting, spacing, country codes) are missed by the human eye.</w:t>
      </w:r>
    </w:p>
    <w:p>
      <w:pPr>
        <w:pStyle w:val="ListParagraph"/>
        <w:numPr>
          <w:ilvl w:val="0"/>
          <w:numId w:val="2"/>
        </w:numPr>
        <w:spacing w:after="80" w:before="0"/>
      </w:pPr>
      <w:r>
        <w:rPr>
          <w:rFonts w:ascii="Arial" w:cs="Arial" w:eastAsia="Arial" w:hAnsi="Arial"/>
          <w:color w:val="1A1A2E"/>
          <w:sz w:val="22"/>
          <w:szCs w:val="22"/>
        </w:rPr>
        <w:t xml:space="preserve">Reactive: Alerts are only generated if an officer reviews the right manifest at the right time.</w:t>
      </w:r>
    </w:p>
    <w:p>
      <w:pPr>
        <w:pStyle w:val="ListParagraph"/>
        <w:numPr>
          <w:ilvl w:val="0"/>
          <w:numId w:val="2"/>
        </w:numPr>
        <w:spacing w:after="80" w:before="0"/>
      </w:pPr>
      <w:r>
        <w:rPr>
          <w:rFonts w:ascii="Arial" w:cs="Arial" w:eastAsia="Arial" w:hAnsi="Arial"/>
          <w:color w:val="1A1A2E"/>
          <w:sz w:val="22"/>
          <w:szCs w:val="22"/>
        </w:rPr>
        <w:t xml:space="preserve">No consolidated history: Travel history for a passport number spans hundreds of separate files with no query capability.</w:t>
      </w:r>
    </w:p>
    <w:p>
      <w:pPr>
        <w:pStyle w:val="ListParagraph"/>
        <w:numPr>
          <w:ilvl w:val="0"/>
          <w:numId w:val="2"/>
        </w:numPr>
        <w:spacing w:after="80" w:before="0"/>
      </w:pPr>
      <w:r>
        <w:rPr>
          <w:rFonts w:ascii="Arial" w:cs="Arial" w:eastAsia="Arial" w:hAnsi="Arial"/>
          <w:color w:val="1A1A2E"/>
          <w:sz w:val="22"/>
          <w:szCs w:val="22"/>
        </w:rPr>
        <w:t xml:space="preserve">No audit trail: No record of which manifests were reviewed, by whom, or when.</w:t>
      </w:r>
    </w:p>
    <w:p>
      <w:pPr>
        <w:pStyle w:val="ListParagraph"/>
        <w:numPr>
          <w:ilvl w:val="0"/>
          <w:numId w:val="2"/>
        </w:numPr>
        <w:spacing w:after="80" w:before="0"/>
      </w:pPr>
      <w:r>
        <w:rPr>
          <w:rFonts w:ascii="Arial" w:cs="Arial" w:eastAsia="Arial" w:hAnsi="Arial"/>
          <w:color w:val="1A1A2E"/>
          <w:sz w:val="22"/>
          <w:szCs w:val="22"/>
        </w:rPr>
        <w:t xml:space="preserve">Not scalable: Every additional airline or route multiplies the manual burden linearly.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0C" w:sz="16"/>
              <w:left w:val="single" w:color="C8960C" w:sz="16"/>
              <w:bottom w:val="single" w:color="D9E2EE" w:sz="4"/>
              <w:right w:val="single" w:color="D9E2EE" w:sz="4"/>
            </w:tcBorders>
            <w:shd w:fill="FFF3CD" w:val="clear"/>
            <w:tcMar>
              <w:top w:type="dxa" w:w="140"/>
              <w:left w:type="dxa" w:w="200"/>
              <w:bottom w:type="dxa" w:w="140"/>
              <w:right w:type="dxa" w:w="200"/>
            </w:tcMar>
          </w:tcPr>
          <w:p>
            <w:pPr>
              <w:spacing w:after="80" w:before="0"/>
            </w:pPr>
            <w:r>
              <w:rPr>
                <w:rFonts w:ascii="Arial" w:cs="Arial" w:eastAsia="Arial" w:hAnsi="Arial"/>
                <w:b/>
                <w:bCs/>
                <w:caps/>
                <w:color w:val="1B2E4B"/>
                <w:sz w:val="22"/>
                <w:szCs w:val="22"/>
              </w:rPr>
              <w:t xml:space="preserve">Quantified Burden</w:t>
            </w:r>
          </w:p>
          <w:p>
            <w:pPr>
              <w:spacing w:after="60" w:before="0"/>
            </w:pPr>
            <w:r>
              <w:rPr>
                <w:rFonts w:ascii="Arial" w:cs="Arial" w:eastAsia="Arial" w:hAnsi="Arial"/>
                <w:color w:val="1A1A2E"/>
                <w:sz w:val="21"/>
                <w:szCs w:val="21"/>
              </w:rPr>
              <w:t xml:space="preserve">Each manifest requires an officer to download the file, maintain a local copy of the blacklist, run VLOOKUP, resolve mismatches caused by name or phone formatting, and log the outcome manually.</w:t>
            </w:r>
          </w:p>
          <w:p>
            <w:pPr>
              <w:spacing w:after="60" w:before="0"/>
            </w:pPr>
            <w:r>
              <w:rPr>
                <w:rFonts w:ascii="Arial" w:cs="Arial" w:eastAsia="Arial" w:hAnsi="Arial"/>
                <w:color w:val="1A1A2E"/>
                <w:sz w:val="21"/>
                <w:szCs w:val="21"/>
              </w:rPr>
              <w:t xml:space="preserve">Across 5 manifests a day, that is 60–90 minutes of repetitive administrative work daily — none of it captured in any central record.</w:t>
            </w:r>
          </w:p>
        </w:tc>
      </w:tr>
    </w:tbl>
    <w:p>
      <w:r>
        <w:br w:type="page"/>
      </w:r>
    </w:p>
    <w:p>
      <w:pPr>
        <w:pStyle w:val="Heading1"/>
        <w:pBdr>
          <w:bottom w:val="single" w:color="C8960C" w:sz="12"/>
        </w:pBdr>
        <w:spacing w:after="120" w:before="360"/>
      </w:pPr>
      <w:r>
        <w:rPr>
          <w:rFonts w:ascii="Arial" w:cs="Arial" w:eastAsia="Arial" w:hAnsi="Arial"/>
          <w:b/>
          <w:bCs/>
          <w:color w:val="1B2E4B"/>
          <w:sz w:val="28"/>
          <w:szCs w:val="28"/>
        </w:rPr>
        <w:t xml:space="preserve">3.  Solution Overview — Manifest Watch</w:t>
      </w:r>
    </w:p>
    <w:p>
      <w:pPr>
        <w:spacing w:after="120" w:before="0"/>
      </w:pPr>
      <w:r>
        <w:rPr>
          <w:rFonts w:ascii="Arial" w:cs="Arial" w:eastAsia="Arial" w:hAnsi="Arial"/>
          <w:color w:val="1A1A2E"/>
          <w:sz w:val="22"/>
          <w:szCs w:val="22"/>
        </w:rPr>
        <w:t xml:space="preserve">Manifest Watch automates the full manifest processing pipeline. It runs entirely on DRI's hardware, requires no internet connection after setup, and is accessible to authorised staff via any browser on the local network.</w:t>
      </w:r>
    </w:p>
    <w:p>
      <w:pPr>
        <w:spacing w:after="120" w:before="0"/>
      </w:pPr>
    </w:p>
    <w:p>
      <w:pPr>
        <w:pStyle w:val="Heading2"/>
        <w:spacing w:after="80" w:before="240"/>
      </w:pPr>
      <w:r>
        <w:rPr>
          <w:rFonts w:ascii="Arial" w:cs="Arial" w:eastAsia="Arial" w:hAnsi="Arial"/>
          <w:b/>
          <w:bCs/>
          <w:color w:val="1B2E4B"/>
          <w:sz w:val="24"/>
          <w:szCs w:val="24"/>
        </w:rPr>
        <w:t xml:space="preserve">3.1  How It Works</w:t>
      </w:r>
    </w:p>
    <w:p>
      <w:pPr>
        <w:pStyle w:val="ListParagraph"/>
        <w:numPr>
          <w:ilvl w:val="0"/>
          <w:numId w:val="3"/>
        </w:numPr>
        <w:spacing w:after="80" w:before="0"/>
      </w:pPr>
      <w:r>
        <w:rPr>
          <w:rFonts w:ascii="Arial" w:cs="Arial" w:eastAsia="Arial" w:hAnsi="Arial"/>
          <w:color w:val="1A1A2E"/>
          <w:sz w:val="22"/>
          <w:szCs w:val="22"/>
        </w:rPr>
        <w:t xml:space="preserve">Manifest emails arrive in a designated DRI mailbox from airlines (Excel, CSV, or PDF attachments).</w:t>
      </w:r>
    </w:p>
    <w:p>
      <w:pPr>
        <w:pStyle w:val="ListParagraph"/>
        <w:numPr>
          <w:ilvl w:val="0"/>
          <w:numId w:val="3"/>
        </w:numPr>
        <w:spacing w:after="80" w:before="0"/>
      </w:pPr>
      <w:r>
        <w:rPr>
          <w:rFonts w:ascii="Arial" w:cs="Arial" w:eastAsia="Arial" w:hAnsi="Arial"/>
          <w:color w:val="1A1A2E"/>
          <w:sz w:val="22"/>
          <w:szCs w:val="22"/>
        </w:rPr>
        <w:t xml:space="preserve">The system's watcher downloads attachments, auto-detects the carrier and format, and parses each file using airline-specific normalisers.</w:t>
      </w:r>
    </w:p>
    <w:p>
      <w:pPr>
        <w:pStyle w:val="ListParagraph"/>
        <w:numPr>
          <w:ilvl w:val="0"/>
          <w:numId w:val="3"/>
        </w:numPr>
        <w:spacing w:after="80" w:before="0"/>
      </w:pPr>
      <w:r>
        <w:rPr>
          <w:rFonts w:ascii="Arial" w:cs="Arial" w:eastAsia="Arial" w:hAnsi="Arial"/>
          <w:color w:val="1A1A2E"/>
          <w:sz w:val="22"/>
          <w:szCs w:val="22"/>
        </w:rPr>
        <w:t xml:space="preserve">Parsed passenger records are stored, deduplicated, and indexed in the local database.</w:t>
      </w:r>
    </w:p>
    <w:p>
      <w:pPr>
        <w:pStyle w:val="ListParagraph"/>
        <w:numPr>
          <w:ilvl w:val="0"/>
          <w:numId w:val="3"/>
        </w:numPr>
        <w:spacing w:after="80" w:before="0"/>
      </w:pPr>
      <w:r>
        <w:rPr>
          <w:rFonts w:ascii="Arial" w:cs="Arial" w:eastAsia="Arial" w:hAnsi="Arial"/>
          <w:color w:val="1A1A2E"/>
          <w:sz w:val="22"/>
          <w:szCs w:val="22"/>
        </w:rPr>
        <w:t xml:space="preserve">Each record is cross-referenced against the active blacklist using multi-field fuzzy matching.</w:t>
      </w:r>
    </w:p>
    <w:p>
      <w:pPr>
        <w:pStyle w:val="ListParagraph"/>
        <w:numPr>
          <w:ilvl w:val="0"/>
          <w:numId w:val="3"/>
        </w:numPr>
        <w:spacing w:after="80" w:before="0"/>
      </w:pPr>
      <w:r>
        <w:rPr>
          <w:rFonts w:ascii="Arial" w:cs="Arial" w:eastAsia="Arial" w:hAnsi="Arial"/>
          <w:color w:val="1A1A2E"/>
          <w:sz w:val="22"/>
          <w:szCs w:val="22"/>
        </w:rPr>
        <w:t xml:space="preserve">Matches generate instant alert entries in the dashboard, tagged with matched fields.</w:t>
      </w:r>
    </w:p>
    <w:p>
      <w:pPr>
        <w:pStyle w:val="ListParagraph"/>
        <w:numPr>
          <w:ilvl w:val="0"/>
          <w:numId w:val="3"/>
        </w:numPr>
        <w:spacing w:after="80" w:before="0"/>
      </w:pPr>
      <w:r>
        <w:rPr>
          <w:rFonts w:ascii="Arial" w:cs="Arial" w:eastAsia="Arial" w:hAnsi="Arial"/>
          <w:color w:val="1A1A2E"/>
          <w:sz w:val="22"/>
          <w:szCs w:val="22"/>
        </w:rPr>
        <w:t xml:space="preserve">DRI officers access alerts, search passengers, manage the blacklist, and export data via browser.</w:t>
      </w:r>
    </w:p>
    <w:p>
      <w:pPr>
        <w:spacing w:after="120" w:before="0"/>
      </w:pPr>
    </w:p>
    <w:p>
      <w:pPr>
        <w:pStyle w:val="Heading2"/>
        <w:spacing w:after="80" w:before="240"/>
      </w:pPr>
      <w:r>
        <w:rPr>
          <w:rFonts w:ascii="Arial" w:cs="Arial" w:eastAsia="Arial" w:hAnsi="Arial"/>
          <w:b/>
          <w:bCs/>
          <w:color w:val="1B2E4B"/>
          <w:sz w:val="24"/>
          <w:szCs w:val="24"/>
        </w:rPr>
        <w:t xml:space="preserve">3.2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rPr>
          <w:tblHeader/>
        </w:trPr>
        <w:tc>
          <w:tcPr>
            <w:tcW w:type="dxa" w:w="240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256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Technology</w:t>
            </w:r>
          </w:p>
        </w:tc>
        <w:tc>
          <w:tcPr>
            <w:tcW w:type="dxa" w:w="440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4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Email Watcher</w:t>
            </w:r>
          </w:p>
        </w:tc>
        <w:tc>
          <w:tcPr>
            <w:tcW w:type="dxa" w:w="256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Python / IMAP</w:t>
            </w:r>
          </w:p>
        </w:tc>
        <w:tc>
          <w:tcPr>
            <w:tcW w:type="dxa" w:w="44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Monitors DRI mailbox; processes unseen emails automatically</w:t>
            </w:r>
          </w:p>
        </w:tc>
      </w:tr>
      <w:tr>
        <w:tc>
          <w:tcPr>
            <w:tcW w:type="dxa" w:w="24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Manifest Parsers</w:t>
            </w:r>
          </w:p>
        </w:tc>
        <w:tc>
          <w:tcPr>
            <w:tcW w:type="dxa" w:w="256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Python (openpyxl, pdfplumber, csv)</w:t>
            </w:r>
          </w:p>
        </w:tc>
        <w:tc>
          <w:tcPr>
            <w:tcW w:type="dxa" w:w="44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Carrier-specific normalisers for 6E, IX, TG; Excel / CSV / PDF supported</w:t>
            </w:r>
          </w:p>
        </w:tc>
      </w:tr>
      <w:tr>
        <w:tc>
          <w:tcPr>
            <w:tcW w:type="dxa" w:w="24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Database</w:t>
            </w:r>
          </w:p>
        </w:tc>
        <w:tc>
          <w:tcPr>
            <w:tcW w:type="dxa" w:w="256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SQLite (WAL mode)</w:t>
            </w:r>
          </w:p>
        </w:tc>
        <w:tc>
          <w:tcPr>
            <w:tcW w:type="dxa" w:w="44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Local file; no DB server; concurrent-read safe; standard backup</w:t>
            </w:r>
          </w:p>
        </w:tc>
      </w:tr>
      <w:tr>
        <w:tc>
          <w:tcPr>
            <w:tcW w:type="dxa" w:w="24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Matching Engine</w:t>
            </w:r>
          </w:p>
        </w:tc>
        <w:tc>
          <w:tcPr>
            <w:tcW w:type="dxa" w:w="256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Pure Python</w:t>
            </w:r>
          </w:p>
        </w:tc>
        <w:tc>
          <w:tcPr>
            <w:tcW w:type="dxa" w:w="44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Exact passport/email; fuzzy phone normalisation; case-insensitive name</w:t>
            </w:r>
          </w:p>
        </w:tc>
      </w:tr>
      <w:tr>
        <w:tc>
          <w:tcPr>
            <w:tcW w:type="dxa" w:w="24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Web Dashboard</w:t>
            </w:r>
          </w:p>
        </w:tc>
        <w:tc>
          <w:tcPr>
            <w:tcW w:type="dxa" w:w="256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Python stdlib HTTP</w:t>
            </w:r>
          </w:p>
        </w:tc>
        <w:tc>
          <w:tcPr>
            <w:tcW w:type="dxa" w:w="44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Self-contained; no npm or JS frameworks; runs on localhost / LAN</w:t>
            </w:r>
          </w:p>
        </w:tc>
      </w:tr>
      <w:tr>
        <w:tc>
          <w:tcPr>
            <w:tcW w:type="dxa" w:w="24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Deployment</w:t>
            </w:r>
          </w:p>
        </w:tc>
        <w:tc>
          <w:tcPr>
            <w:tcW w:type="dxa" w:w="256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Single machine</w:t>
            </w:r>
          </w:p>
        </w:tc>
        <w:tc>
          <w:tcPr>
            <w:tcW w:type="dxa" w:w="44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Air-gap capable; zero outbound network after setup</w:t>
            </w:r>
          </w:p>
        </w:tc>
      </w:tr>
    </w:tbl>
    <w:p>
      <w:r>
        <w:br w:type="page"/>
      </w:r>
    </w:p>
    <w:p>
      <w:pPr>
        <w:pStyle w:val="Heading1"/>
        <w:pBdr>
          <w:bottom w:val="single" w:color="C8960C" w:sz="12"/>
        </w:pBdr>
        <w:spacing w:after="120" w:before="360"/>
      </w:pPr>
      <w:r>
        <w:rPr>
          <w:rFonts w:ascii="Arial" w:cs="Arial" w:eastAsia="Arial" w:hAnsi="Arial"/>
          <w:b/>
          <w:bCs/>
          <w:color w:val="1B2E4B"/>
          <w:sz w:val="28"/>
          <w:szCs w:val="28"/>
        </w:rPr>
        <w:t xml:space="preserve">4.  Key Features &amp; Capabilities</w:t>
      </w:r>
    </w:p>
    <w:p>
      <w:pPr>
        <w:pStyle w:val="Heading2"/>
        <w:spacing w:after="80" w:before="240"/>
      </w:pPr>
      <w:r>
        <w:rPr>
          <w:rFonts w:ascii="Arial" w:cs="Arial" w:eastAsia="Arial" w:hAnsi="Arial"/>
          <w:b/>
          <w:bCs/>
          <w:color w:val="1B2E4B"/>
          <w:sz w:val="24"/>
          <w:szCs w:val="24"/>
        </w:rPr>
        <w:t xml:space="preserve">4.1  Multi-Format Manifest Ingestion</w:t>
      </w:r>
    </w:p>
    <w:p>
      <w:pPr>
        <w:pStyle w:val="ListParagraph"/>
        <w:numPr>
          <w:ilvl w:val="0"/>
          <w:numId w:val="2"/>
        </w:numPr>
        <w:spacing w:after="80" w:before="0"/>
      </w:pPr>
      <w:r>
        <w:rPr>
          <w:rFonts w:ascii="Arial" w:cs="Arial" w:eastAsia="Arial" w:hAnsi="Arial"/>
          <w:color w:val="1A1A2E"/>
          <w:sz w:val="22"/>
          <w:szCs w:val="22"/>
        </w:rPr>
        <w:t xml:space="preserve">Excel (.xlsx / .xls): full support including merged-cell headers and title rows</w:t>
      </w:r>
    </w:p>
    <w:p>
      <w:pPr>
        <w:pStyle w:val="ListParagraph"/>
        <w:numPr>
          <w:ilvl w:val="0"/>
          <w:numId w:val="2"/>
        </w:numPr>
        <w:spacing w:after="80" w:before="0"/>
      </w:pPr>
      <w:r>
        <w:rPr>
          <w:rFonts w:ascii="Arial" w:cs="Arial" w:eastAsia="Arial" w:hAnsi="Arial"/>
          <w:color w:val="1A1A2E"/>
          <w:sz w:val="22"/>
          <w:szCs w:val="22"/>
        </w:rPr>
        <w:t xml:space="preserve">CSV: auto-detects encoding (UTF-8, Latin-1) and delimiter (comma, tab, semicolon)</w:t>
      </w:r>
    </w:p>
    <w:p>
      <w:pPr>
        <w:pStyle w:val="ListParagraph"/>
        <w:numPr>
          <w:ilvl w:val="0"/>
          <w:numId w:val="2"/>
        </w:numPr>
        <w:spacing w:after="80" w:before="0"/>
      </w:pPr>
      <w:r>
        <w:rPr>
          <w:rFonts w:ascii="Arial" w:cs="Arial" w:eastAsia="Arial" w:hAnsi="Arial"/>
          <w:color w:val="1A1A2E"/>
          <w:sz w:val="22"/>
          <w:szCs w:val="22"/>
        </w:rPr>
        <w:t xml:space="preserve">PDF: three extraction strategies — line-based table, word-cluster column alignment, raw-text fallback</w:t>
      </w:r>
    </w:p>
    <w:p>
      <w:pPr>
        <w:pStyle w:val="ListParagraph"/>
        <w:numPr>
          <w:ilvl w:val="0"/>
          <w:numId w:val="2"/>
        </w:numPr>
        <w:spacing w:after="80" w:before="0"/>
      </w:pPr>
      <w:r>
        <w:rPr>
          <w:rFonts w:ascii="Arial" w:cs="Arial" w:eastAsia="Arial" w:hAnsi="Arial"/>
          <w:color w:val="1A1A2E"/>
          <w:sz w:val="22"/>
          <w:szCs w:val="22"/>
        </w:rPr>
        <w:t xml:space="preserve">Carrier auto-detection from column headers, PDF text fingerprints, and filename</w:t>
      </w:r>
    </w:p>
    <w:p>
      <w:pPr>
        <w:pStyle w:val="ListParagraph"/>
        <w:numPr>
          <w:ilvl w:val="0"/>
          <w:numId w:val="2"/>
        </w:numPr>
        <w:spacing w:after="80" w:before="0"/>
      </w:pPr>
      <w:r>
        <w:rPr>
          <w:rFonts w:ascii="Arial" w:cs="Arial" w:eastAsia="Arial" w:hAnsi="Arial"/>
          <w:color w:val="1A1A2E"/>
          <w:sz w:val="22"/>
          <w:szCs w:val="22"/>
        </w:rPr>
        <w:t xml:space="preserve">Deduplication: re-sending the same manifest does not create duplicate records</w:t>
      </w:r>
    </w:p>
    <w:p>
      <w:pPr>
        <w:spacing w:after="120" w:before="0"/>
      </w:pPr>
    </w:p>
    <w:p>
      <w:pPr>
        <w:pStyle w:val="Heading2"/>
        <w:spacing w:after="80" w:before="240"/>
      </w:pPr>
      <w:r>
        <w:rPr>
          <w:rFonts w:ascii="Arial" w:cs="Arial" w:eastAsia="Arial" w:hAnsi="Arial"/>
          <w:b/>
          <w:bCs/>
          <w:color w:val="1B2E4B"/>
          <w:sz w:val="24"/>
          <w:szCs w:val="24"/>
        </w:rPr>
        <w:t xml:space="preserve">4.2  Blacklist Management</w:t>
      </w:r>
    </w:p>
    <w:p>
      <w:pPr>
        <w:pStyle w:val="ListParagraph"/>
        <w:numPr>
          <w:ilvl w:val="0"/>
          <w:numId w:val="2"/>
        </w:numPr>
        <w:spacing w:after="80" w:before="0"/>
      </w:pPr>
      <w:r>
        <w:rPr>
          <w:rFonts w:ascii="Arial" w:cs="Arial" w:eastAsia="Arial" w:hAnsi="Arial"/>
          <w:color w:val="1A1A2E"/>
          <w:sz w:val="22"/>
          <w:szCs w:val="22"/>
        </w:rPr>
        <w:t xml:space="preserve">Add, edit, delete blacklist entries from the dashboard — no technical skill required</w:t>
      </w:r>
    </w:p>
    <w:p>
      <w:pPr>
        <w:pStyle w:val="ListParagraph"/>
        <w:numPr>
          <w:ilvl w:val="0"/>
          <w:numId w:val="2"/>
        </w:numPr>
        <w:spacing w:after="80" w:before="0"/>
      </w:pPr>
      <w:r>
        <w:rPr>
          <w:rFonts w:ascii="Arial" w:cs="Arial" w:eastAsia="Arial" w:hAnsi="Arial"/>
          <w:color w:val="1A1A2E"/>
          <w:sz w:val="22"/>
          <w:szCs w:val="22"/>
        </w:rPr>
        <w:t xml:space="preserve">Match on any combination: Passport No., Mobile No., Email, Full Name</w:t>
      </w:r>
    </w:p>
    <w:p>
      <w:pPr>
        <w:pStyle w:val="ListParagraph"/>
        <w:numPr>
          <w:ilvl w:val="0"/>
          <w:numId w:val="2"/>
        </w:numPr>
        <w:spacing w:after="80" w:before="0"/>
      </w:pPr>
      <w:r>
        <w:rPr>
          <w:rFonts w:ascii="Arial" w:cs="Arial" w:eastAsia="Arial" w:hAnsi="Arial"/>
          <w:color w:val="1A1A2E"/>
          <w:sz w:val="22"/>
          <w:szCs w:val="22"/>
        </w:rPr>
        <w:t xml:space="preserve">Fuzzy phone matching handles country-code and spacing variants</w:t>
      </w:r>
    </w:p>
    <w:p>
      <w:pPr>
        <w:pStyle w:val="ListParagraph"/>
        <w:numPr>
          <w:ilvl w:val="0"/>
          <w:numId w:val="2"/>
        </w:numPr>
        <w:spacing w:after="80" w:before="0"/>
      </w:pPr>
      <w:r>
        <w:rPr>
          <w:rFonts w:ascii="Arial" w:cs="Arial" w:eastAsia="Arial" w:hAnsi="Arial"/>
          <w:color w:val="1A1A2E"/>
          <w:sz w:val="22"/>
          <w:szCs w:val="22"/>
        </w:rPr>
        <w:t xml:space="preserve">Notes field for case reference and reason for blacklisting</w:t>
      </w:r>
    </w:p>
    <w:p>
      <w:pPr>
        <w:spacing w:after="120" w:before="0"/>
      </w:pPr>
    </w:p>
    <w:p>
      <w:pPr>
        <w:pStyle w:val="Heading2"/>
        <w:spacing w:after="80" w:before="240"/>
      </w:pPr>
      <w:r>
        <w:rPr>
          <w:rFonts w:ascii="Arial" w:cs="Arial" w:eastAsia="Arial" w:hAnsi="Arial"/>
          <w:b/>
          <w:bCs/>
          <w:color w:val="1B2E4B"/>
          <w:sz w:val="24"/>
          <w:szCs w:val="24"/>
        </w:rPr>
        <w:t xml:space="preserve">4.3  Alerts</w:t>
      </w:r>
    </w:p>
    <w:p>
      <w:pPr>
        <w:pStyle w:val="ListParagraph"/>
        <w:numPr>
          <w:ilvl w:val="0"/>
          <w:numId w:val="2"/>
        </w:numPr>
        <w:spacing w:after="80" w:before="0"/>
      </w:pPr>
      <w:r>
        <w:rPr>
          <w:rFonts w:ascii="Arial" w:cs="Arial" w:eastAsia="Arial" w:hAnsi="Arial"/>
          <w:color w:val="1A1A2E"/>
          <w:sz w:val="22"/>
          <w:szCs w:val="22"/>
        </w:rPr>
        <w:t xml:space="preserve">Alerts generated within seconds of manifest ingestion</w:t>
      </w:r>
    </w:p>
    <w:p>
      <w:pPr>
        <w:pStyle w:val="ListParagraph"/>
        <w:numPr>
          <w:ilvl w:val="0"/>
          <w:numId w:val="2"/>
        </w:numPr>
        <w:spacing w:after="80" w:before="0"/>
      </w:pPr>
      <w:r>
        <w:rPr>
          <w:rFonts w:ascii="Arial" w:cs="Arial" w:eastAsia="Arial" w:hAnsi="Arial"/>
          <w:color w:val="1A1A2E"/>
          <w:sz w:val="22"/>
          <w:szCs w:val="22"/>
        </w:rPr>
        <w:t xml:space="preserve">Each alert shows matched passenger, flight details, blacklist record, and matched field(s)</w:t>
      </w:r>
    </w:p>
    <w:p>
      <w:pPr>
        <w:pStyle w:val="ListParagraph"/>
        <w:numPr>
          <w:ilvl w:val="0"/>
          <w:numId w:val="2"/>
        </w:numPr>
        <w:spacing w:after="80" w:before="0"/>
      </w:pPr>
      <w:r>
        <w:rPr>
          <w:rFonts w:ascii="Arial" w:cs="Arial" w:eastAsia="Arial" w:hAnsi="Arial"/>
          <w:color w:val="1A1A2E"/>
          <w:sz w:val="22"/>
          <w:szCs w:val="22"/>
        </w:rPr>
        <w:t xml:space="preserve">Filter by time range and match-field type; collapsible day groups</w:t>
      </w:r>
    </w:p>
    <w:p>
      <w:pPr>
        <w:spacing w:after="120" w:before="0"/>
      </w:pPr>
    </w:p>
    <w:p>
      <w:pPr>
        <w:pStyle w:val="Heading2"/>
        <w:spacing w:after="80" w:before="240"/>
      </w:pPr>
      <w:r>
        <w:rPr>
          <w:rFonts w:ascii="Arial" w:cs="Arial" w:eastAsia="Arial" w:hAnsi="Arial"/>
          <w:b/>
          <w:bCs/>
          <w:color w:val="1B2E4B"/>
          <w:sz w:val="24"/>
          <w:szCs w:val="24"/>
        </w:rPr>
        <w:t xml:space="preserve">4.4  Passenger Search &amp; History</w:t>
      </w:r>
    </w:p>
    <w:p>
      <w:pPr>
        <w:pStyle w:val="ListParagraph"/>
        <w:numPr>
          <w:ilvl w:val="0"/>
          <w:numId w:val="2"/>
        </w:numPr>
        <w:spacing w:after="80" w:before="0"/>
      </w:pPr>
      <w:r>
        <w:rPr>
          <w:rFonts w:ascii="Arial" w:cs="Arial" w:eastAsia="Arial" w:hAnsi="Arial"/>
          <w:color w:val="1A1A2E"/>
          <w:sz w:val="22"/>
          <w:szCs w:val="22"/>
        </w:rPr>
        <w:t xml:space="preserve">10+ filter dimensions: airline, manifest type, origin, destination, flight number, cabin class, nationality, passenger type, date, date range</w:t>
      </w:r>
    </w:p>
    <w:p>
      <w:pPr>
        <w:pStyle w:val="ListParagraph"/>
        <w:numPr>
          <w:ilvl w:val="0"/>
          <w:numId w:val="2"/>
        </w:numPr>
        <w:spacing w:after="80" w:before="0"/>
      </w:pPr>
      <w:r>
        <w:rPr>
          <w:rFonts w:ascii="Arial" w:cs="Arial" w:eastAsia="Arial" w:hAnsi="Arial"/>
          <w:color w:val="1A1A2E"/>
          <w:sz w:val="22"/>
          <w:szCs w:val="22"/>
        </w:rPr>
        <w:t xml:space="preserve">Travel history drawer: full cross-manifest flight history for any passport number</w:t>
      </w:r>
    </w:p>
    <w:p>
      <w:pPr>
        <w:pStyle w:val="ListParagraph"/>
        <w:numPr>
          <w:ilvl w:val="0"/>
          <w:numId w:val="2"/>
        </w:numPr>
        <w:spacing w:after="80" w:before="0"/>
      </w:pPr>
      <w:r>
        <w:rPr>
          <w:rFonts w:ascii="Arial" w:cs="Arial" w:eastAsia="Arial" w:hAnsi="Arial"/>
          <w:color w:val="1A1A2E"/>
          <w:sz w:val="22"/>
          <w:szCs w:val="22"/>
        </w:rPr>
        <w:t xml:space="preserve">One-click CSV export of any filtered result set</w:t>
      </w:r>
    </w:p>
    <w:p>
      <w:pPr>
        <w:spacing w:after="120" w:before="0"/>
      </w:pPr>
    </w:p>
    <w:p>
      <w:pPr>
        <w:pStyle w:val="Heading2"/>
        <w:spacing w:after="80" w:before="240"/>
      </w:pPr>
      <w:r>
        <w:rPr>
          <w:rFonts w:ascii="Arial" w:cs="Arial" w:eastAsia="Arial" w:hAnsi="Arial"/>
          <w:b/>
          <w:bCs/>
          <w:color w:val="1B2E4B"/>
          <w:sz w:val="24"/>
          <w:szCs w:val="24"/>
        </w:rPr>
        <w:t xml:space="preserve">4.5  Security &amp; Data Governance</w:t>
      </w:r>
    </w:p>
    <w:p>
      <w:pPr>
        <w:pStyle w:val="ListParagraph"/>
        <w:numPr>
          <w:ilvl w:val="0"/>
          <w:numId w:val="2"/>
        </w:numPr>
        <w:spacing w:after="80" w:before="0"/>
      </w:pPr>
      <w:r>
        <w:rPr>
          <w:rFonts w:ascii="Arial" w:cs="Arial" w:eastAsia="Arial" w:hAnsi="Arial"/>
          <w:color w:val="1A1A2E"/>
          <w:sz w:val="22"/>
          <w:szCs w:val="22"/>
        </w:rPr>
        <w:t xml:space="preserve">All data stored locally on DRI hardware — nothing transmitted externally</w:t>
      </w:r>
    </w:p>
    <w:p>
      <w:pPr>
        <w:pStyle w:val="ListParagraph"/>
        <w:numPr>
          <w:ilvl w:val="0"/>
          <w:numId w:val="2"/>
        </w:numPr>
        <w:spacing w:after="80" w:before="0"/>
      </w:pPr>
      <w:r>
        <w:rPr>
          <w:rFonts w:ascii="Arial" w:cs="Arial" w:eastAsia="Arial" w:hAnsi="Arial"/>
          <w:color w:val="1A1A2E"/>
          <w:sz w:val="22"/>
          <w:szCs w:val="22"/>
        </w:rPr>
        <w:t xml:space="preserve">Air-gap capable; no internet required post-deployment</w:t>
      </w:r>
    </w:p>
    <w:p>
      <w:pPr>
        <w:pStyle w:val="ListParagraph"/>
        <w:numPr>
          <w:ilvl w:val="0"/>
          <w:numId w:val="2"/>
        </w:numPr>
        <w:spacing w:after="80" w:before="0"/>
      </w:pPr>
      <w:r>
        <w:rPr>
          <w:rFonts w:ascii="Arial" w:cs="Arial" w:eastAsia="Arial" w:hAnsi="Arial"/>
          <w:color w:val="1A1A2E"/>
          <w:sz w:val="22"/>
          <w:szCs w:val="22"/>
        </w:rPr>
        <w:t xml:space="preserve">No telemetry, analytics, or third-party tracking of any kind</w:t>
      </w:r>
    </w:p>
    <w:p>
      <w:r>
        <w:br w:type="page"/>
      </w:r>
    </w:p>
    <w:p>
      <w:pPr>
        <w:pStyle w:val="Heading1"/>
        <w:pBdr>
          <w:bottom w:val="single" w:color="C8960C" w:sz="12"/>
        </w:pBdr>
        <w:spacing w:after="120" w:before="360"/>
      </w:pPr>
      <w:r>
        <w:rPr>
          <w:rFonts w:ascii="Arial" w:cs="Arial" w:eastAsia="Arial" w:hAnsi="Arial"/>
          <w:b/>
          <w:bCs/>
          <w:color w:val="1B2E4B"/>
          <w:sz w:val="28"/>
          <w:szCs w:val="28"/>
        </w:rPr>
        <w:t xml:space="preserve">5.  Operational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rPr>
          <w:tblHeader/>
        </w:trPr>
        <w:tc>
          <w:tcPr>
            <w:tcW w:type="dxa" w:w="200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vAlign w:val="center"/>
          </w:tcPr>
          <w:p>
            <w:r>
              <w:rPr>
                <w:rFonts w:ascii="Arial" w:cs="Arial" w:eastAsia="Arial" w:hAnsi="Arial"/>
                <w:b/>
                <w:bCs/>
                <w:color w:val="FFFFFF"/>
                <w:sz w:val="20"/>
                <w:szCs w:val="20"/>
              </w:rPr>
              <w:t xml:space="preserve">Area</w:t>
            </w:r>
          </w:p>
        </w:tc>
        <w:tc>
          <w:tcPr>
            <w:tcW w:type="dxa" w:w="348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vAlign w:val="center"/>
          </w:tcPr>
          <w:p>
            <w:r>
              <w:rPr>
                <w:rFonts w:ascii="Arial" w:cs="Arial" w:eastAsia="Arial" w:hAnsi="Arial"/>
                <w:b/>
                <w:bCs/>
                <w:color w:val="FFFFFF"/>
                <w:sz w:val="20"/>
                <w:szCs w:val="20"/>
              </w:rPr>
              <w:t xml:space="preserve">Manual Process</w:t>
            </w:r>
          </w:p>
        </w:tc>
        <w:tc>
          <w:tcPr>
            <w:tcW w:type="dxa" w:w="388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vAlign w:val="center"/>
          </w:tcPr>
          <w:p>
            <w:r>
              <w:rPr>
                <w:rFonts w:ascii="Arial" w:cs="Arial" w:eastAsia="Arial" w:hAnsi="Arial"/>
                <w:b/>
                <w:bCs/>
                <w:color w:val="FFFFFF"/>
                <w:sz w:val="20"/>
                <w:szCs w:val="20"/>
              </w:rPr>
              <w:t xml:space="preserve">With Manifest Watch</w:t>
            </w:r>
          </w:p>
        </w:tc>
      </w:tr>
      <w:tr>
        <w:tc>
          <w:tcPr>
            <w:tcW w:type="dxa" w:w="20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Alert Speed</w:t>
            </w:r>
          </w:p>
        </w:tc>
        <w:tc>
          <w:tcPr>
            <w:tcW w:type="dxa" w:w="348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Hours to days</w:t>
            </w:r>
          </w:p>
        </w:tc>
        <w:tc>
          <w:tcPr>
            <w:tcW w:type="dxa" w:w="388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Seconds after email arrives</w:t>
            </w:r>
          </w:p>
        </w:tc>
      </w:tr>
      <w:tr>
        <w:tc>
          <w:tcPr>
            <w:tcW w:type="dxa" w:w="20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Daily Review Time</w:t>
            </w:r>
          </w:p>
        </w:tc>
        <w:tc>
          <w:tcPr>
            <w:tcW w:type="dxa" w:w="348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60–90 min/day of admin per officer</w:t>
            </w:r>
          </w:p>
        </w:tc>
        <w:tc>
          <w:tcPr>
            <w:tcW w:type="dxa" w:w="388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&lt;30 minutes exception review</w:t>
            </w:r>
          </w:p>
        </w:tc>
      </w:tr>
      <w:tr>
        <w:tc>
          <w:tcPr>
            <w:tcW w:type="dxa" w:w="20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Match Accuracy</w:t>
            </w:r>
          </w:p>
        </w:tc>
        <w:tc>
          <w:tcPr>
            <w:tcW w:type="dxa" w:w="348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Misses format/spacing variants</w:t>
            </w:r>
          </w:p>
        </w:tc>
        <w:tc>
          <w:tcPr>
            <w:tcW w:type="dxa" w:w="388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100% coverage; fuzzy phone &amp; name matching</w:t>
            </w:r>
          </w:p>
        </w:tc>
      </w:tr>
      <w:tr>
        <w:tc>
          <w:tcPr>
            <w:tcW w:type="dxa" w:w="20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Audit Trail</w:t>
            </w:r>
          </w:p>
        </w:tc>
        <w:tc>
          <w:tcPr>
            <w:tcW w:type="dxa" w:w="348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None</w:t>
            </w:r>
          </w:p>
        </w:tc>
        <w:tc>
          <w:tcPr>
            <w:tcW w:type="dxa" w:w="388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Full log of every email, parse, and match event</w:t>
            </w:r>
          </w:p>
        </w:tc>
      </w:tr>
      <w:tr>
        <w:tc>
          <w:tcPr>
            <w:tcW w:type="dxa" w:w="20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History Queries</w:t>
            </w:r>
          </w:p>
        </w:tc>
        <w:tc>
          <w:tcPr>
            <w:tcW w:type="dxa" w:w="348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Manual file search</w:t>
            </w:r>
          </w:p>
        </w:tc>
        <w:tc>
          <w:tcPr>
            <w:tcW w:type="dxa" w:w="388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Instant cross-manifest search</w:t>
            </w:r>
          </w:p>
        </w:tc>
      </w:tr>
      <w:tr>
        <w:tc>
          <w:tcPr>
            <w:tcW w:type="dxa" w:w="20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Scalability</w:t>
            </w:r>
          </w:p>
        </w:tc>
        <w:tc>
          <w:tcPr>
            <w:tcW w:type="dxa" w:w="348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Headcount grows with volume</w:t>
            </w:r>
          </w:p>
        </w:tc>
        <w:tc>
          <w:tcPr>
            <w:tcW w:type="dxa" w:w="388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No additional staffing needed</w:t>
            </w:r>
          </w:p>
        </w:tc>
      </w:tr>
    </w:tbl>
    <w:p>
      <w:r>
        <w:br w:type="page"/>
      </w:r>
    </w:p>
    <w:p>
      <w:pPr>
        <w:pStyle w:val="Heading1"/>
        <w:pBdr>
          <w:bottom w:val="single" w:color="C8960C" w:sz="12"/>
        </w:pBdr>
        <w:spacing w:after="120" w:before="360"/>
      </w:pPr>
      <w:r>
        <w:rPr>
          <w:rFonts w:ascii="Arial" w:cs="Arial" w:eastAsia="Arial" w:hAnsi="Arial"/>
          <w:b/>
          <w:bCs/>
          <w:color w:val="1B2E4B"/>
          <w:sz w:val="28"/>
          <w:szCs w:val="28"/>
        </w:rPr>
        <w:t xml:space="preserve">6.  Pricing &amp; Cost Structure</w:t>
      </w:r>
    </w:p>
    <w:p>
      <w:pPr>
        <w:pStyle w:val="Heading2"/>
        <w:spacing w:after="80" w:before="240"/>
      </w:pPr>
      <w:r>
        <w:rPr>
          <w:rFonts w:ascii="Arial" w:cs="Arial" w:eastAsia="Arial" w:hAnsi="Arial"/>
          <w:b/>
          <w:bCs/>
          <w:color w:val="1B2E4B"/>
          <w:sz w:val="24"/>
          <w:szCs w:val="24"/>
        </w:rPr>
        <w:t xml:space="preserve">7.1  One-Time Licence &amp; Deployment 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vAlign w:val="center"/>
          </w:tcPr>
          <w:p>
            <w:r>
              <w:rPr>
                <w:rFonts w:ascii="Arial" w:cs="Arial" w:eastAsia="Arial" w:hAnsi="Arial"/>
                <w:b/>
                <w:bCs/>
                <w:color w:val="FFFFFF"/>
                <w:sz w:val="20"/>
                <w:szCs w:val="20"/>
              </w:rPr>
              <w:t xml:space="preserve">Item</w:t>
            </w:r>
          </w:p>
        </w:tc>
        <w:tc>
          <w:tcPr>
            <w:tcW w:type="dxa" w:w="416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240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vAlign w:val="center"/>
          </w:tcPr>
          <w:p>
            <w:r>
              <w:rPr>
                <w:rFonts w:ascii="Arial" w:cs="Arial" w:eastAsia="Arial" w:hAnsi="Arial"/>
                <w:b/>
                <w:bCs/>
                <w:color w:val="FFFFFF"/>
                <w:sz w:val="20"/>
                <w:szCs w:val="20"/>
              </w:rPr>
              <w:t xml:space="preserve">Amount (INR)</w:t>
            </w:r>
          </w:p>
        </w:tc>
      </w:tr>
      <w:tr>
        <w:tc>
          <w:tcPr>
            <w:tcW w:type="dxa" w:w="28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Software Licence</w:t>
            </w:r>
          </w:p>
        </w:tc>
        <w:tc>
          <w:tcPr>
            <w:tcW w:type="dxa" w:w="416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Perpetual single-site licence. Full source code, documentation, and unrestricted right to deploy on DRI's own infrastructure.</w:t>
            </w:r>
          </w:p>
        </w:tc>
        <w:tc>
          <w:tcPr>
            <w:tcW w:type="dxa" w:w="24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₹2,50,000</w:t>
            </w:r>
          </w:p>
        </w:tc>
      </w:tr>
      <w:tr>
        <w:tc>
          <w:tcPr>
            <w:tcW w:type="dxa" w:w="28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Deployment &amp; Integration</w:t>
            </w:r>
          </w:p>
        </w:tc>
        <w:tc>
          <w:tcPr>
            <w:tcW w:type="dxa" w:w="416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On-site installation, email-watcher configuration, airline parser setup, database initialisation, and LAN network binding.</w:t>
            </w:r>
          </w:p>
        </w:tc>
        <w:tc>
          <w:tcPr>
            <w:tcW w:type="dxa" w:w="24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₹90,000</w:t>
            </w:r>
          </w:p>
        </w:tc>
      </w:tr>
      <w:tr>
        <w:tc>
          <w:tcPr>
            <w:tcW w:type="dxa" w:w="28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Data Migration &amp; Setup</w:t>
            </w:r>
          </w:p>
        </w:tc>
        <w:tc>
          <w:tcPr>
            <w:tcW w:type="dxa" w:w="416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Import of existing blacklist data; configuration of up to 3 airline manifest templates (6E, IX, TG).</w:t>
            </w:r>
          </w:p>
        </w:tc>
        <w:tc>
          <w:tcPr>
            <w:tcW w:type="dxa" w:w="24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₹30,000</w:t>
            </w:r>
          </w:p>
        </w:tc>
      </w:tr>
      <w:tr>
        <w:tc>
          <w:tcPr>
            <w:tcW w:type="dxa" w:w="28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Training</w:t>
            </w:r>
          </w:p>
        </w:tc>
        <w:tc>
          <w:tcPr>
            <w:tcW w:type="dxa" w:w="416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Two training sessions: (1) Operator — blacklist, alerts, search, export; (2) Administrator — config, maintenance, backup.</w:t>
            </w:r>
          </w:p>
        </w:tc>
        <w:tc>
          <w:tcPr>
            <w:tcW w:type="dxa" w:w="24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₹30,000</w:t>
            </w:r>
          </w:p>
        </w:tc>
      </w:tr>
      <w:tr>
        <w:tc>
          <w:tcPr>
            <w:tcW w:type="dxa" w:w="28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Documentation</w:t>
            </w:r>
          </w:p>
        </w:tc>
        <w:tc>
          <w:tcPr>
            <w:tcW w:type="dxa" w:w="416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Technical manual, operator guide, and administrator handbook (printed + digital PDF).</w:t>
            </w:r>
          </w:p>
        </w:tc>
        <w:tc>
          <w:tcPr>
            <w:tcW w:type="dxa" w:w="24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₹20,000</w:t>
            </w:r>
          </w:p>
        </w:tc>
      </w:tr>
      <w:tr>
        <w:tc>
          <w:tcPr>
            <w:tcW w:type="dxa" w:w="2800"/>
            <w:tcBorders>
              <w:top w:val="single" w:color="D9E2EE" w:sz="4"/>
              <w:left w:val="single" w:color="D9E2EE" w:sz="4"/>
              <w:bottom w:val="single" w:color="D9E2EE" w:sz="4"/>
              <w:right w:val="single" w:color="D9E2EE" w:sz="4"/>
            </w:tcBorders>
            <w:shd w:fill="D9E2EE" w:val="clear"/>
            <w:tcMar>
              <w:top w:type="dxa" w:w="80"/>
              <w:left w:type="dxa" w:w="140"/>
              <w:bottom w:type="dxa" w:w="80"/>
              <w:right w:type="dxa" w:w="140"/>
            </w:tcMar>
          </w:tcPr>
          <w:p>
            <w:r>
              <w:rPr>
                <w:rFonts w:ascii="Arial" w:cs="Arial" w:eastAsia="Arial" w:hAnsi="Arial"/>
                <w:b/>
                <w:bCs/>
                <w:color w:val="1B2E4B"/>
                <w:sz w:val="20"/>
                <w:szCs w:val="20"/>
              </w:rPr>
              <w:t xml:space="preserve"/>
            </w:r>
          </w:p>
        </w:tc>
        <w:tc>
          <w:tcPr>
            <w:tcW w:type="dxa" w:w="4160"/>
            <w:tcBorders>
              <w:top w:val="single" w:color="D9E2EE" w:sz="4"/>
              <w:left w:val="single" w:color="D9E2EE" w:sz="4"/>
              <w:bottom w:val="single" w:color="D9E2EE" w:sz="4"/>
              <w:right w:val="single" w:color="D9E2EE" w:sz="4"/>
            </w:tcBorders>
            <w:shd w:fill="D9E2EE" w:val="clear"/>
            <w:tcMar>
              <w:top w:type="dxa" w:w="80"/>
              <w:left w:type="dxa" w:w="140"/>
              <w:bottom w:type="dxa" w:w="80"/>
              <w:right w:type="dxa" w:w="140"/>
            </w:tcMar>
          </w:tcPr>
          <w:p>
            <w:r>
              <w:rPr>
                <w:rFonts w:ascii="Arial" w:cs="Arial" w:eastAsia="Arial" w:hAnsi="Arial"/>
                <w:b/>
                <w:bCs/>
                <w:color w:val="1B2E4B"/>
                <w:sz w:val="20"/>
                <w:szCs w:val="20"/>
              </w:rPr>
              <w:t xml:space="preserve">Sub-total (pre-GST)</w:t>
            </w:r>
          </w:p>
        </w:tc>
        <w:tc>
          <w:tcPr>
            <w:tcW w:type="dxa" w:w="2400"/>
            <w:tcBorders>
              <w:top w:val="single" w:color="D9E2EE" w:sz="4"/>
              <w:left w:val="single" w:color="D9E2EE" w:sz="4"/>
              <w:bottom w:val="single" w:color="D9E2EE" w:sz="4"/>
              <w:right w:val="single" w:color="D9E2EE" w:sz="4"/>
            </w:tcBorders>
            <w:shd w:fill="D9E2EE" w:val="clear"/>
            <w:tcMar>
              <w:top w:type="dxa" w:w="80"/>
              <w:left w:type="dxa" w:w="140"/>
              <w:bottom w:type="dxa" w:w="80"/>
              <w:right w:type="dxa" w:w="140"/>
            </w:tcMar>
          </w:tcPr>
          <w:p>
            <w:r>
              <w:rPr>
                <w:rFonts w:ascii="Arial" w:cs="Arial" w:eastAsia="Arial" w:hAnsi="Arial"/>
                <w:b/>
                <w:bCs/>
                <w:color w:val="1B2E4B"/>
                <w:sz w:val="20"/>
                <w:szCs w:val="20"/>
              </w:rPr>
              <w:t xml:space="preserve">₹4,20,000</w:t>
            </w:r>
          </w:p>
        </w:tc>
      </w:tr>
      <w:tr>
        <w:tc>
          <w:tcPr>
            <w:tcW w:type="dxa" w:w="28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
            </w:r>
          </w:p>
        </w:tc>
        <w:tc>
          <w:tcPr>
            <w:tcW w:type="dxa" w:w="416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GST @ 18%</w:t>
            </w:r>
          </w:p>
        </w:tc>
        <w:tc>
          <w:tcPr>
            <w:tcW w:type="dxa" w:w="24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₹75,600</w:t>
            </w:r>
          </w:p>
        </w:tc>
      </w:tr>
      <w:tr>
        <w:tc>
          <w:tcPr>
            <w:tcW w:type="dxa" w:w="280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tcPr>
          <w:p>
            <w:r>
              <w:rPr>
                <w:rFonts w:ascii="Arial" w:cs="Arial" w:eastAsia="Arial" w:hAnsi="Arial"/>
                <w:b/>
                <w:bCs/>
                <w:color w:val="FFFFFF"/>
                <w:sz w:val="21"/>
                <w:szCs w:val="21"/>
              </w:rPr>
              <w:t xml:space="preserve"/>
            </w:r>
          </w:p>
        </w:tc>
        <w:tc>
          <w:tcPr>
            <w:tcW w:type="dxa" w:w="416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tcPr>
          <w:p>
            <w:r>
              <w:rPr>
                <w:rFonts w:ascii="Arial" w:cs="Arial" w:eastAsia="Arial" w:hAnsi="Arial"/>
                <w:b/>
                <w:bCs/>
                <w:color w:val="FFFFFF"/>
                <w:sz w:val="21"/>
                <w:szCs w:val="21"/>
              </w:rPr>
              <w:t xml:space="preserve">TOTAL ONE-TIME COST (incl. GST)</w:t>
            </w:r>
          </w:p>
        </w:tc>
        <w:tc>
          <w:tcPr>
            <w:tcW w:type="dxa" w:w="240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tcPr>
          <w:p>
            <w:r>
              <w:rPr>
                <w:rFonts w:ascii="Arial" w:cs="Arial" w:eastAsia="Arial" w:hAnsi="Arial"/>
                <w:b/>
                <w:bCs/>
                <w:color w:val="FFFFFF"/>
                <w:sz w:val="21"/>
                <w:szCs w:val="21"/>
              </w:rPr>
              <w:t xml:space="preserve">₹4,95,600</w:t>
            </w:r>
          </w:p>
        </w:tc>
      </w:tr>
    </w:tbl>
    <w:p>
      <w:pPr>
        <w:spacing w:after="80" w:before="0"/>
      </w:pPr>
    </w:p>
    <w:p>
      <w:pPr>
        <w:spacing w:after="80" w:before="0"/>
      </w:pPr>
      <w:r>
        <w:rPr>
          <w:rFonts w:ascii="Arial" w:cs="Arial" w:eastAsia="Arial" w:hAnsi="Arial"/>
          <w:i/>
          <w:iCs/>
          <w:color w:val="5A6A80"/>
          <w:sz w:val="20"/>
          <w:szCs w:val="20"/>
        </w:rPr>
        <w:t xml:space="preserve">Total one-time cost: ₹4,95,600 inclusive of GST.</w:t>
      </w:r>
    </w:p>
    <w:p>
      <w:pPr>
        <w:spacing w:after="200" w:before="0"/>
      </w:pPr>
    </w:p>
    <w:p>
      <w:pPr>
        <w:pStyle w:val="Heading2"/>
        <w:spacing w:after="80" w:before="240"/>
      </w:pPr>
      <w:r>
        <w:rPr>
          <w:rFonts w:ascii="Arial" w:cs="Arial" w:eastAsia="Arial" w:hAnsi="Arial"/>
          <w:b/>
          <w:bCs/>
          <w:color w:val="1B2E4B"/>
          <w:sz w:val="24"/>
          <w:szCs w:val="24"/>
        </w:rPr>
        <w:t xml:space="preserve">7.2  Annual Maintenance Contract (AMC)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vAlign w:val="center"/>
          </w:tcPr>
          <w:p>
            <w:r>
              <w:rPr>
                <w:rFonts w:ascii="Arial" w:cs="Arial" w:eastAsia="Arial" w:hAnsi="Arial"/>
                <w:b/>
                <w:bCs/>
                <w:color w:val="FFFFFF"/>
                <w:sz w:val="20"/>
                <w:szCs w:val="20"/>
              </w:rPr>
              <w:t xml:space="preserve">Item</w:t>
            </w:r>
          </w:p>
        </w:tc>
        <w:tc>
          <w:tcPr>
            <w:tcW w:type="dxa" w:w="416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240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vAlign w:val="center"/>
          </w:tcPr>
          <w:p>
            <w:r>
              <w:rPr>
                <w:rFonts w:ascii="Arial" w:cs="Arial" w:eastAsia="Arial" w:hAnsi="Arial"/>
                <w:b/>
                <w:bCs/>
                <w:color w:val="FFFFFF"/>
                <w:sz w:val="20"/>
                <w:szCs w:val="20"/>
              </w:rPr>
              <w:t xml:space="preserve">Annual Amount (INR)</w:t>
            </w:r>
          </w:p>
        </w:tc>
      </w:tr>
      <w:tr>
        <w:tc>
          <w:tcPr>
            <w:tcW w:type="dxa" w:w="28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Software Updates</w:t>
            </w:r>
          </w:p>
        </w:tc>
        <w:tc>
          <w:tcPr>
            <w:tcW w:type="dxa" w:w="416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All feature updates, bug fixes, and security patches. Includes new airline format support as airlines update their templates.</w:t>
            </w:r>
          </w:p>
        </w:tc>
        <w:tc>
          <w:tcPr>
            <w:tcW w:type="dxa" w:w="24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₹36,000</w:t>
            </w:r>
          </w:p>
        </w:tc>
      </w:tr>
      <w:tr>
        <w:tc>
          <w:tcPr>
            <w:tcW w:type="dxa" w:w="28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Technical Support</w:t>
            </w:r>
          </w:p>
        </w:tc>
        <w:tc>
          <w:tcPr>
            <w:tcW w:type="dxa" w:w="416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Priority email and telephone support (8×5); 4-hour response SLA for critical issues.</w:t>
            </w:r>
          </w:p>
        </w:tc>
        <w:tc>
          <w:tcPr>
            <w:tcW w:type="dxa" w:w="24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₹18,000</w:t>
            </w:r>
          </w:p>
        </w:tc>
      </w:tr>
      <w:tr>
        <w:tc>
          <w:tcPr>
            <w:tcW w:type="dxa" w:w="28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Annual Health Check</w:t>
            </w:r>
          </w:p>
        </w:tc>
        <w:tc>
          <w:tcPr>
            <w:tcW w:type="dxa" w:w="416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One annual on-site visit for performance optimisation and database maintenance.</w:t>
            </w:r>
          </w:p>
        </w:tc>
        <w:tc>
          <w:tcPr>
            <w:tcW w:type="dxa" w:w="24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₹9,000</w:t>
            </w:r>
          </w:p>
        </w:tc>
      </w:tr>
      <w:tr>
        <w:tc>
          <w:tcPr>
            <w:tcW w:type="dxa" w:w="2800"/>
            <w:tcBorders>
              <w:top w:val="single" w:color="D9E2EE" w:sz="4"/>
              <w:left w:val="single" w:color="D9E2EE" w:sz="4"/>
              <w:bottom w:val="single" w:color="D9E2EE" w:sz="4"/>
              <w:right w:val="single" w:color="D9E2EE" w:sz="4"/>
            </w:tcBorders>
            <w:shd w:fill="D9E2EE" w:val="clear"/>
            <w:tcMar>
              <w:top w:type="dxa" w:w="80"/>
              <w:left w:type="dxa" w:w="140"/>
              <w:bottom w:type="dxa" w:w="80"/>
              <w:right w:type="dxa" w:w="140"/>
            </w:tcMar>
          </w:tcPr>
          <w:p>
            <w:r>
              <w:rPr>
                <w:rFonts w:ascii="Arial" w:cs="Arial" w:eastAsia="Arial" w:hAnsi="Arial"/>
                <w:b/>
                <w:bCs/>
                <w:color w:val="1B2E4B"/>
                <w:sz w:val="20"/>
                <w:szCs w:val="20"/>
              </w:rPr>
              <w:t xml:space="preserve"/>
            </w:r>
          </w:p>
        </w:tc>
        <w:tc>
          <w:tcPr>
            <w:tcW w:type="dxa" w:w="4160"/>
            <w:tcBorders>
              <w:top w:val="single" w:color="D9E2EE" w:sz="4"/>
              <w:left w:val="single" w:color="D9E2EE" w:sz="4"/>
              <w:bottom w:val="single" w:color="D9E2EE" w:sz="4"/>
              <w:right w:val="single" w:color="D9E2EE" w:sz="4"/>
            </w:tcBorders>
            <w:shd w:fill="D9E2EE" w:val="clear"/>
            <w:tcMar>
              <w:top w:type="dxa" w:w="80"/>
              <w:left w:type="dxa" w:w="140"/>
              <w:bottom w:type="dxa" w:w="80"/>
              <w:right w:type="dxa" w:w="140"/>
            </w:tcMar>
          </w:tcPr>
          <w:p>
            <w:r>
              <w:rPr>
                <w:rFonts w:ascii="Arial" w:cs="Arial" w:eastAsia="Arial" w:hAnsi="Arial"/>
                <w:b/>
                <w:bCs/>
                <w:color w:val="1B2E4B"/>
                <w:sz w:val="20"/>
                <w:szCs w:val="20"/>
              </w:rPr>
              <w:t xml:space="preserve">AMC Sub-total (pre-GST)</w:t>
            </w:r>
          </w:p>
        </w:tc>
        <w:tc>
          <w:tcPr>
            <w:tcW w:type="dxa" w:w="2400"/>
            <w:tcBorders>
              <w:top w:val="single" w:color="D9E2EE" w:sz="4"/>
              <w:left w:val="single" w:color="D9E2EE" w:sz="4"/>
              <w:bottom w:val="single" w:color="D9E2EE" w:sz="4"/>
              <w:right w:val="single" w:color="D9E2EE" w:sz="4"/>
            </w:tcBorders>
            <w:shd w:fill="D9E2EE" w:val="clear"/>
            <w:tcMar>
              <w:top w:type="dxa" w:w="80"/>
              <w:left w:type="dxa" w:w="140"/>
              <w:bottom w:type="dxa" w:w="80"/>
              <w:right w:type="dxa" w:w="140"/>
            </w:tcMar>
          </w:tcPr>
          <w:p>
            <w:r>
              <w:rPr>
                <w:rFonts w:ascii="Arial" w:cs="Arial" w:eastAsia="Arial" w:hAnsi="Arial"/>
                <w:b/>
                <w:bCs/>
                <w:color w:val="1B2E4B"/>
                <w:sz w:val="20"/>
                <w:szCs w:val="20"/>
              </w:rPr>
              <w:t xml:space="preserve">₹63,000</w:t>
            </w:r>
          </w:p>
        </w:tc>
      </w:tr>
      <w:tr>
        <w:tc>
          <w:tcPr>
            <w:tcW w:type="dxa" w:w="28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
            </w:r>
          </w:p>
        </w:tc>
        <w:tc>
          <w:tcPr>
            <w:tcW w:type="dxa" w:w="416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GST @ 18%</w:t>
            </w:r>
          </w:p>
        </w:tc>
        <w:tc>
          <w:tcPr>
            <w:tcW w:type="dxa" w:w="24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₹11,340</w:t>
            </w:r>
          </w:p>
        </w:tc>
      </w:tr>
      <w:tr>
        <w:tc>
          <w:tcPr>
            <w:tcW w:type="dxa" w:w="280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tcPr>
          <w:p>
            <w:r>
              <w:rPr>
                <w:rFonts w:ascii="Arial" w:cs="Arial" w:eastAsia="Arial" w:hAnsi="Arial"/>
                <w:b/>
                <w:bCs/>
                <w:color w:val="FFFFFF"/>
                <w:sz w:val="21"/>
                <w:szCs w:val="21"/>
              </w:rPr>
              <w:t xml:space="preserve"/>
            </w:r>
          </w:p>
        </w:tc>
        <w:tc>
          <w:tcPr>
            <w:tcW w:type="dxa" w:w="416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tcPr>
          <w:p>
            <w:r>
              <w:rPr>
                <w:rFonts w:ascii="Arial" w:cs="Arial" w:eastAsia="Arial" w:hAnsi="Arial"/>
                <w:b/>
                <w:bCs/>
                <w:color w:val="FFFFFF"/>
                <w:sz w:val="21"/>
                <w:szCs w:val="21"/>
              </w:rPr>
              <w:t xml:space="preserve">TOTAL AMC (per year, incl. GST)</w:t>
            </w:r>
          </w:p>
        </w:tc>
        <w:tc>
          <w:tcPr>
            <w:tcW w:type="dxa" w:w="240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tcPr>
          <w:p>
            <w:r>
              <w:rPr>
                <w:rFonts w:ascii="Arial" w:cs="Arial" w:eastAsia="Arial" w:hAnsi="Arial"/>
                <w:b/>
                <w:bCs/>
                <w:color w:val="FFFFFF"/>
                <w:sz w:val="21"/>
                <w:szCs w:val="21"/>
              </w:rPr>
              <w:t xml:space="preserve">₹74,340</w:t>
            </w:r>
          </w:p>
        </w:tc>
      </w:tr>
    </w:tbl>
    <w:p>
      <w:pPr>
        <w:spacing w:after="200" w:before="0"/>
      </w:pPr>
    </w:p>
    <w:p>
      <w:pPr>
        <w:pStyle w:val="Heading2"/>
        <w:spacing w:after="80" w:before="240"/>
      </w:pPr>
      <w:r>
        <w:rPr>
          <w:rFonts w:ascii="Arial" w:cs="Arial" w:eastAsia="Arial" w:hAnsi="Arial"/>
          <w:b/>
          <w:bCs/>
          <w:color w:val="1B2E4B"/>
          <w:sz w:val="24"/>
          <w:szCs w:val="24"/>
        </w:rPr>
        <w:t xml:space="preserve">7.3  Three-Year Total Cost of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4"/>
      </w:tblGrid>
      <w:tr>
        <w:trPr>
          <w:tblHeader/>
        </w:trPr>
        <w:tc>
          <w:tcPr>
            <w:tcW w:type="dxa" w:w="320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vAlign w:val="center"/>
          </w:tcPr>
          <w:p>
            <w:r>
              <w:rPr>
                <w:rFonts w:ascii="Arial" w:cs="Arial" w:eastAsia="Arial" w:hAnsi="Arial"/>
                <w:b/>
                <w:bCs/>
                <w:color w:val="FFFFFF"/>
                <w:sz w:val="20"/>
                <w:szCs w:val="20"/>
              </w:rPr>
              <w:t xml:space="preserve">Cost Head</w:t>
            </w:r>
          </w:p>
        </w:tc>
        <w:tc>
          <w:tcPr>
            <w:tcW w:type="dxa" w:w="2053"/>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vAlign w:val="center"/>
          </w:tcPr>
          <w:p>
            <w:r>
              <w:rPr>
                <w:rFonts w:ascii="Arial" w:cs="Arial" w:eastAsia="Arial" w:hAnsi="Arial"/>
                <w:b/>
                <w:bCs/>
                <w:color w:val="FFFFFF"/>
                <w:sz w:val="20"/>
                <w:szCs w:val="20"/>
              </w:rPr>
              <w:t xml:space="preserve">Year 1</w:t>
            </w:r>
          </w:p>
        </w:tc>
        <w:tc>
          <w:tcPr>
            <w:tcW w:type="dxa" w:w="2053"/>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vAlign w:val="center"/>
          </w:tcPr>
          <w:p>
            <w:r>
              <w:rPr>
                <w:rFonts w:ascii="Arial" w:cs="Arial" w:eastAsia="Arial" w:hAnsi="Arial"/>
                <w:b/>
                <w:bCs/>
                <w:color w:val="FFFFFF"/>
                <w:sz w:val="20"/>
                <w:szCs w:val="20"/>
              </w:rPr>
              <w:t xml:space="preserve">Year 2</w:t>
            </w:r>
          </w:p>
        </w:tc>
        <w:tc>
          <w:tcPr>
            <w:tcW w:type="dxa" w:w="2054"/>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vAlign w:val="center"/>
          </w:tcPr>
          <w:p>
            <w:r>
              <w:rPr>
                <w:rFonts w:ascii="Arial" w:cs="Arial" w:eastAsia="Arial" w:hAnsi="Arial"/>
                <w:b/>
                <w:bCs/>
                <w:color w:val="FFFFFF"/>
                <w:sz w:val="20"/>
                <w:szCs w:val="20"/>
              </w:rPr>
              <w:t xml:space="preserve">Year 3</w:t>
            </w:r>
          </w:p>
        </w:tc>
      </w:tr>
      <w:tr>
        <w:tc>
          <w:tcPr>
            <w:tcW w:type="dxa" w:w="32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One-Time Licence &amp; Deployment (incl. GST)</w:t>
            </w:r>
          </w:p>
        </w:tc>
        <w:tc>
          <w:tcPr>
            <w:tcW w:type="dxa" w:w="2053"/>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₹4,95,600</w:t>
            </w:r>
          </w:p>
        </w:tc>
        <w:tc>
          <w:tcPr>
            <w:tcW w:type="dxa" w:w="2053"/>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2054"/>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w:t>
            </w:r>
          </w:p>
        </w:tc>
      </w:tr>
      <w:tr>
        <w:tc>
          <w:tcPr>
            <w:tcW w:type="dxa" w:w="32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Annual Maintenance Contract (incl. GST)</w:t>
            </w:r>
          </w:p>
        </w:tc>
        <w:tc>
          <w:tcPr>
            <w:tcW w:type="dxa" w:w="2053"/>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₹74,340</w:t>
            </w:r>
          </w:p>
        </w:tc>
        <w:tc>
          <w:tcPr>
            <w:tcW w:type="dxa" w:w="2053"/>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₹74,340</w:t>
            </w:r>
          </w:p>
        </w:tc>
        <w:tc>
          <w:tcPr>
            <w:tcW w:type="dxa" w:w="2054"/>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₹74,340</w:t>
            </w:r>
          </w:p>
        </w:tc>
      </w:tr>
      <w:tr>
        <w:tc>
          <w:tcPr>
            <w:tcW w:type="dxa" w:w="320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tcPr>
          <w:p>
            <w:r>
              <w:rPr>
                <w:rFonts w:ascii="Arial" w:cs="Arial" w:eastAsia="Arial" w:hAnsi="Arial"/>
                <w:b/>
                <w:bCs/>
                <w:color w:val="FFFFFF"/>
                <w:sz w:val="21"/>
                <w:szCs w:val="21"/>
              </w:rPr>
              <w:t xml:space="preserve">Total Cost of Ownership</w:t>
            </w:r>
          </w:p>
        </w:tc>
        <w:tc>
          <w:tcPr>
            <w:tcW w:type="dxa" w:w="2053"/>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tcPr>
          <w:p>
            <w:r>
              <w:rPr>
                <w:rFonts w:ascii="Arial" w:cs="Arial" w:eastAsia="Arial" w:hAnsi="Arial"/>
                <w:b/>
                <w:bCs/>
                <w:color w:val="FFFFFF"/>
                <w:sz w:val="21"/>
                <w:szCs w:val="21"/>
              </w:rPr>
              <w:t xml:space="preserve">₹5,69,940</w:t>
            </w:r>
          </w:p>
        </w:tc>
        <w:tc>
          <w:tcPr>
            <w:tcW w:type="dxa" w:w="2053"/>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tcPr>
          <w:p>
            <w:r>
              <w:rPr>
                <w:rFonts w:ascii="Arial" w:cs="Arial" w:eastAsia="Arial" w:hAnsi="Arial"/>
                <w:b/>
                <w:bCs/>
                <w:color w:val="FFFFFF"/>
                <w:sz w:val="21"/>
                <w:szCs w:val="21"/>
              </w:rPr>
              <w:t xml:space="preserve">₹74,340</w:t>
            </w:r>
          </w:p>
        </w:tc>
        <w:tc>
          <w:tcPr>
            <w:tcW w:type="dxa" w:w="2054"/>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tcPr>
          <w:p>
            <w:r>
              <w:rPr>
                <w:rFonts w:ascii="Arial" w:cs="Arial" w:eastAsia="Arial" w:hAnsi="Arial"/>
                <w:b/>
                <w:bCs/>
                <w:color w:val="FFFFFF"/>
                <w:sz w:val="21"/>
                <w:szCs w:val="21"/>
              </w:rPr>
              <w:t xml:space="preserve">₹74,340</w:t>
            </w:r>
          </w:p>
        </w:tc>
      </w:tr>
    </w:tbl>
    <w:p>
      <w:pPr>
        <w:spacing w:after="120" w:before="0"/>
      </w:pPr>
    </w:p>
    <w:p>
      <w:pPr>
        <w:spacing w:after="80" w:before="0"/>
      </w:pPr>
      <w:r>
        <w:rPr>
          <w:rFonts w:ascii="Arial" w:cs="Arial" w:eastAsia="Arial" w:hAnsi="Arial"/>
          <w:i/>
          <w:iCs/>
          <w:color w:val="5A6A80"/>
          <w:sz w:val="20"/>
          <w:szCs w:val="20"/>
        </w:rPr>
        <w:t xml:space="preserve">Payment terms: 50% on purchase order, 25% on go-live, 25% on completion of training. AMC payable annually in advance.</w:t>
      </w:r>
    </w:p>
    <w:p>
      <w:r>
        <w:br w:type="page"/>
      </w:r>
    </w:p>
    <w:p>
      <w:pPr>
        <w:pStyle w:val="Heading1"/>
        <w:pBdr>
          <w:bottom w:val="single" w:color="C8960C" w:sz="12"/>
        </w:pBdr>
        <w:spacing w:after="120" w:before="360"/>
      </w:pPr>
      <w:r>
        <w:rPr>
          <w:rFonts w:ascii="Arial" w:cs="Arial" w:eastAsia="Arial" w:hAnsi="Arial"/>
          <w:b/>
          <w:bCs/>
          <w:color w:val="1B2E4B"/>
          <w:sz w:val="28"/>
          <w:szCs w:val="28"/>
        </w:rPr>
        <w:t xml:space="preserve">7.  Value for Money — Cost Justification</w:t>
      </w:r>
    </w:p>
    <w:p>
      <w:pPr>
        <w:pStyle w:val="Heading2"/>
        <w:spacing w:after="80" w:before="240"/>
      </w:pPr>
      <w:r>
        <w:rPr>
          <w:rFonts w:ascii="Arial" w:cs="Arial" w:eastAsia="Arial" w:hAnsi="Arial"/>
          <w:b/>
          <w:bCs/>
          <w:color w:val="1B2E4B"/>
          <w:sz w:val="24"/>
          <w:szCs w:val="24"/>
        </w:rPr>
        <w:t xml:space="preserve">8.1  Officer Time Savings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tblHeader/>
        </w:trPr>
        <w:tc>
          <w:tcPr>
            <w:tcW w:type="dxa" w:w="300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vAlign w:val="center"/>
          </w:tcPr>
          <w:p>
            <w:r>
              <w:rPr>
                <w:rFonts w:ascii="Arial" w:cs="Arial" w:eastAsia="Arial" w:hAnsi="Arial"/>
                <w:b/>
                <w:bCs/>
                <w:color w:val="FFFFFF"/>
                <w:sz w:val="20"/>
                <w:szCs w:val="20"/>
              </w:rPr>
              <w:t xml:space="preserve">Parameter</w:t>
            </w:r>
          </w:p>
        </w:tc>
        <w:tc>
          <w:tcPr>
            <w:tcW w:type="dxa" w:w="340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vAlign w:val="center"/>
          </w:tcPr>
          <w:p>
            <w:r>
              <w:rPr>
                <w:rFonts w:ascii="Arial" w:cs="Arial" w:eastAsia="Arial" w:hAnsi="Arial"/>
                <w:b/>
                <w:bCs/>
                <w:color w:val="FFFFFF"/>
                <w:sz w:val="20"/>
                <w:szCs w:val="20"/>
              </w:rPr>
              <w:t xml:space="preserve">Assumption</w:t>
            </w:r>
          </w:p>
        </w:tc>
        <w:tc>
          <w:tcPr>
            <w:tcW w:type="dxa" w:w="296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vAlign w:val="center"/>
          </w:tcPr>
          <w:p>
            <w:r>
              <w:rPr>
                <w:rFonts w:ascii="Arial" w:cs="Arial" w:eastAsia="Arial" w:hAnsi="Arial"/>
                <w:b/>
                <w:bCs/>
                <w:color w:val="FFFFFF"/>
                <w:sz w:val="20"/>
                <w:szCs w:val="20"/>
              </w:rPr>
              <w:t xml:space="preserve">Annual Figure</w:t>
            </w:r>
          </w:p>
        </w:tc>
      </w:tr>
      <w:tr>
        <w:tc>
          <w:tcPr>
            <w:tcW w:type="dxa" w:w="30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Manifests per day</w:t>
            </w:r>
          </w:p>
        </w:tc>
        <w:tc>
          <w:tcPr>
            <w:tcW w:type="dxa" w:w="34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5 (across multiple airlines)</w:t>
            </w:r>
          </w:p>
        </w:tc>
        <w:tc>
          <w:tcPr>
            <w:tcW w:type="dxa" w:w="296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1,250 / year</w:t>
            </w:r>
          </w:p>
        </w:tc>
      </w:tr>
      <w:tr>
        <w:tc>
          <w:tcPr>
            <w:tcW w:type="dxa" w:w="30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Average rows per manifest</w:t>
            </w:r>
          </w:p>
        </w:tc>
        <w:tc>
          <w:tcPr>
            <w:tcW w:type="dxa" w:w="34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200 passengers</w:t>
            </w:r>
          </w:p>
        </w:tc>
        <w:tc>
          <w:tcPr>
            <w:tcW w:type="dxa" w:w="296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2,50,000 rows / year</w:t>
            </w:r>
          </w:p>
        </w:tc>
      </w:tr>
      <w:tr>
        <w:tc>
          <w:tcPr>
            <w:tcW w:type="dxa" w:w="30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Manual review time per row</w:t>
            </w:r>
          </w:p>
        </w:tc>
        <w:tc>
          <w:tcPr>
            <w:tcW w:type="dxa" w:w="34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15 min per manifest (download, VLOOKUP, review, log)</w:t>
            </w:r>
          </w:p>
        </w:tc>
        <w:tc>
          <w:tcPr>
            <w:tcW w:type="dxa" w:w="296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w:t>
            </w:r>
          </w:p>
        </w:tc>
      </w:tr>
      <w:tr>
        <w:tc>
          <w:tcPr>
            <w:tcW w:type="dxa" w:w="30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Total manual review time</w:t>
            </w:r>
          </w:p>
        </w:tc>
        <w:tc>
          <w:tcPr>
            <w:tcW w:type="dxa" w:w="34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296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~375 hours / year</w:t>
            </w:r>
          </w:p>
        </w:tc>
      </w:tr>
      <w:tr>
        <w:tc>
          <w:tcPr>
            <w:tcW w:type="dxa" w:w="30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Effective officer cost</w:t>
            </w:r>
          </w:p>
        </w:tc>
        <w:tc>
          <w:tcPr>
            <w:tcW w:type="dxa" w:w="34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₹1,500 / hour (incl. overheads)</w:t>
            </w:r>
          </w:p>
        </w:tc>
        <w:tc>
          <w:tcPr>
            <w:tcW w:type="dxa" w:w="296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w:t>
            </w:r>
          </w:p>
        </w:tc>
      </w:tr>
      <w:tr>
        <w:tc>
          <w:tcPr>
            <w:tcW w:type="dxa" w:w="30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Annual productivity cost (manual)</w:t>
            </w:r>
          </w:p>
        </w:tc>
        <w:tc>
          <w:tcPr>
            <w:tcW w:type="dxa" w:w="34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296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₹5,62,500 / year</w:t>
            </w:r>
          </w:p>
        </w:tc>
      </w:tr>
      <w:tr>
        <w:tc>
          <w:tcPr>
            <w:tcW w:type="dxa" w:w="30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Time saving with Manifest Watch</w:t>
            </w:r>
          </w:p>
        </w:tc>
        <w:tc>
          <w:tcPr>
            <w:tcW w:type="dxa" w:w="34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Eliminates manual file handling; catches phone/name variants VLOOKUP misses</w:t>
            </w:r>
          </w:p>
        </w:tc>
        <w:tc>
          <w:tcPr>
            <w:tcW w:type="dxa" w:w="296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~355 hours reclaimed</w:t>
            </w:r>
          </w:p>
        </w:tc>
      </w:tr>
      <w:tr>
        <w:tc>
          <w:tcPr>
            <w:tcW w:type="dxa" w:w="30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Annual productivity value saved</w:t>
            </w:r>
          </w:p>
        </w:tc>
        <w:tc>
          <w:tcPr>
            <w:tcW w:type="dxa" w:w="34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296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~₹5,33,000 / year</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0C" w:sz="16"/>
              <w:left w:val="single" w:color="C8960C" w:sz="16"/>
              <w:bottom w:val="single" w:color="D9E2EE" w:sz="4"/>
              <w:right w:val="single" w:color="D9E2EE" w:sz="4"/>
            </w:tcBorders>
            <w:shd w:fill="EBF0F7" w:val="clear"/>
            <w:tcMar>
              <w:top w:type="dxa" w:w="140"/>
              <w:left w:type="dxa" w:w="200"/>
              <w:bottom w:type="dxa" w:w="140"/>
              <w:right w:type="dxa" w:w="200"/>
            </w:tcMar>
          </w:tcPr>
          <w:p>
            <w:pPr>
              <w:spacing w:after="80" w:before="0"/>
            </w:pPr>
            <w:r>
              <w:rPr>
                <w:rFonts w:ascii="Arial" w:cs="Arial" w:eastAsia="Arial" w:hAnsi="Arial"/>
                <w:b/>
                <w:bCs/>
                <w:caps/>
                <w:color w:val="1B2E4B"/>
                <w:sz w:val="22"/>
                <w:szCs w:val="22"/>
              </w:rPr>
              <w:t xml:space="preserve">Return on Investment</w:t>
            </w:r>
          </w:p>
          <w:p>
            <w:pPr>
              <w:spacing w:after="60" w:before="0"/>
            </w:pPr>
            <w:r>
              <w:rPr>
                <w:rFonts w:ascii="Arial" w:cs="Arial" w:eastAsia="Arial" w:hAnsi="Arial"/>
                <w:color w:val="1A1A2E"/>
                <w:sz w:val="21"/>
                <w:szCs w:val="21"/>
              </w:rPr>
              <w:t xml:space="preserve">One-time system cost: ₹4,95,600   |   Annual admin time recovered: ~₹5,33,000 in officer hours</w:t>
            </w:r>
          </w:p>
          <w:p>
            <w:pPr>
              <w:spacing w:after="60" w:before="0"/>
            </w:pPr>
            <w:r>
              <w:rPr>
                <w:rFonts w:ascii="Arial" w:cs="Arial" w:eastAsia="Arial" w:hAnsi="Arial"/>
                <w:color w:val="1A1A2E"/>
                <w:sz w:val="21"/>
                <w:szCs w:val="21"/>
              </w:rPr>
              <w:t xml:space="preserve">Payback period: approximately 11 months on officer-hours alone, excluding the intelligence value of catch rate improvements.</w:t>
            </w:r>
          </w:p>
          <w:p>
            <w:pPr>
              <w:spacing w:after="60" w:before="0"/>
            </w:pPr>
            <w:r>
              <w:rPr>
                <w:rFonts w:ascii="Arial" w:cs="Arial" w:eastAsia="Arial" w:hAnsi="Arial"/>
                <w:color w:val="1A1A2E"/>
                <w:sz w:val="21"/>
                <w:szCs w:val="21"/>
              </w:rPr>
              <w:t xml:space="preserve">Year 2 onwards: AMC of ₹74,340 vs. ~₹5,33,000 in direct admin savings — with the principal value lying in catch-rate accuracy, audit completeness, and cross-manifest intelligence that VLOOKUP cannot provide.</w:t>
            </w:r>
          </w:p>
          <w:p>
            <w:pPr>
              <w:spacing w:after="60" w:before="0"/>
            </w:pPr>
            <w:r>
              <w:rPr>
                <w:rFonts w:ascii="Arial" w:cs="Arial" w:eastAsia="Arial" w:hAnsi="Arial"/>
                <w:color w:val="1A1A2E"/>
                <w:sz w:val="21"/>
                <w:szCs w:val="21"/>
              </w:rPr>
              <w:t xml:space="preserve">Beyond direct time savings, a single interception that would otherwise have been missed pays back the full system cost many times over.</w:t>
            </w:r>
          </w:p>
        </w:tc>
      </w:tr>
    </w:tbl>
    <w:p>
      <w:pPr>
        <w:spacing w:after="200" w:before="0"/>
      </w:pPr>
    </w:p>
    <w:p>
      <w:pPr>
        <w:pStyle w:val="Heading2"/>
        <w:spacing w:after="80" w:before="240"/>
      </w:pPr>
      <w:r>
        <w:rPr>
          <w:rFonts w:ascii="Arial" w:cs="Arial" w:eastAsia="Arial" w:hAnsi="Arial"/>
          <w:b/>
          <w:bCs/>
          <w:color w:val="1B2E4B"/>
          <w:sz w:val="24"/>
          <w:szCs w:val="24"/>
        </w:rPr>
        <w:t xml:space="preserve">8.2  Risk Mitigation</w:t>
      </w:r>
    </w:p>
    <w:p>
      <w:pPr>
        <w:spacing w:after="120" w:before="0"/>
      </w:pPr>
      <w:r>
        <w:rPr>
          <w:rFonts w:ascii="Arial" w:cs="Arial" w:eastAsia="Arial" w:hAnsi="Arial"/>
          <w:color w:val="1A1A2E"/>
          <w:sz w:val="22"/>
          <w:szCs w:val="22"/>
        </w:rPr>
        <w:t xml:space="preserve">A single missed alert on a blacklisted individual can result in loss of a high-value seizure or arrest opportunity, departmental proceedings, and reputational damage to DRI. Prevention of even one such miss per year justifies the full procurement cost many times over.</w:t>
      </w:r>
    </w:p>
    <w:p>
      <w:pPr>
        <w:spacing w:after="120" w:before="0"/>
      </w:pPr>
    </w:p>
    <w:p>
      <w:pPr>
        <w:pStyle w:val="Heading2"/>
        <w:spacing w:after="80" w:before="240"/>
      </w:pPr>
      <w:r>
        <w:rPr>
          <w:rFonts w:ascii="Arial" w:cs="Arial" w:eastAsia="Arial" w:hAnsi="Arial"/>
          <w:b/>
          <w:bCs/>
          <w:color w:val="1B2E4B"/>
          <w:sz w:val="24"/>
          <w:szCs w:val="24"/>
        </w:rPr>
        <w:t xml:space="preserve">8.3  Comparison to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Approach</w:t>
            </w:r>
          </w:p>
        </w:tc>
        <w:tc>
          <w:tcPr>
            <w:tcW w:type="dxa" w:w="220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vAlign w:val="center"/>
          </w:tcPr>
          <w:p>
            <w:r>
              <w:rPr>
                <w:rFonts w:ascii="Arial" w:cs="Arial" w:eastAsia="Arial" w:hAnsi="Arial"/>
                <w:b/>
                <w:bCs/>
                <w:color w:val="FFFFFF"/>
                <w:sz w:val="20"/>
                <w:szCs w:val="20"/>
              </w:rPr>
              <w:t xml:space="preserve">Estimated Year 1 Cost</w:t>
            </w:r>
          </w:p>
        </w:tc>
        <w:tc>
          <w:tcPr>
            <w:tcW w:type="dxa" w:w="436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Limitations</w:t>
            </w:r>
          </w:p>
        </w:tc>
      </w:tr>
      <w:tr>
        <w:tc>
          <w:tcPr>
            <w:tcW w:type="dxa" w:w="28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Additional headcount (2 officers)</w:t>
            </w:r>
          </w:p>
        </w:tc>
        <w:tc>
          <w:tcPr>
            <w:tcW w:type="dxa" w:w="22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₹48–60 lakh</w:t>
            </w:r>
          </w:p>
        </w:tc>
        <w:tc>
          <w:tcPr>
            <w:tcW w:type="dxa" w:w="436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Still manual; not scalable; HR attrition risk</w:t>
            </w:r>
          </w:p>
        </w:tc>
      </w:tr>
      <w:tr>
        <w:tc>
          <w:tcPr>
            <w:tcW w:type="dxa" w:w="28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Enterprise hosted platform</w:t>
            </w:r>
          </w:p>
        </w:tc>
        <w:tc>
          <w:tcPr>
            <w:tcW w:type="dxa" w:w="22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₹75 lakh–1.5 crore</w:t>
            </w:r>
          </w:p>
        </w:tc>
        <w:tc>
          <w:tcPr>
            <w:tcW w:type="dxa" w:w="436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Data leaves DRI; subscription dependency; vendor lock-in</w:t>
            </w:r>
          </w:p>
        </w:tc>
      </w:tr>
      <w:tr>
        <w:tc>
          <w:tcPr>
            <w:tcW w:type="dxa" w:w="28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Custom outsourced development</w:t>
            </w:r>
          </w:p>
        </w:tc>
        <w:tc>
          <w:tcPr>
            <w:tcW w:type="dxa" w:w="22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₹40–80 lakh</w:t>
            </w:r>
          </w:p>
        </w:tc>
        <w:tc>
          <w:tcPr>
            <w:tcW w:type="dxa" w:w="436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Long timelines; no domain expertise; ongoing support dependency</w:t>
            </w:r>
          </w:p>
        </w:tc>
      </w:tr>
      <w:tr>
        <w:tc>
          <w:tcPr>
            <w:tcW w:type="dxa" w:w="28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Manifest Watch (this proposal)</w:t>
            </w:r>
          </w:p>
        </w:tc>
        <w:tc>
          <w:tcPr>
            <w:tcW w:type="dxa" w:w="22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₹5,69,940 (Year 1)</w:t>
            </w:r>
          </w:p>
        </w:tc>
        <w:tc>
          <w:tcPr>
            <w:tcW w:type="dxa" w:w="436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Nil — purpose-built, locally deployed, full source code ownership</w:t>
            </w:r>
          </w:p>
        </w:tc>
      </w:tr>
    </w:tbl>
    <w:p>
      <w:r>
        <w:br w:type="page"/>
      </w:r>
    </w:p>
    <w:p>
      <w:pPr>
        <w:pStyle w:val="Heading1"/>
        <w:pBdr>
          <w:bottom w:val="single" w:color="C8960C" w:sz="12"/>
        </w:pBdr>
        <w:spacing w:after="120" w:before="360"/>
      </w:pPr>
      <w:r>
        <w:rPr>
          <w:rFonts w:ascii="Arial" w:cs="Arial" w:eastAsia="Arial" w:hAnsi="Arial"/>
          <w:b/>
          <w:bCs/>
          <w:color w:val="1B2E4B"/>
          <w:sz w:val="28"/>
          <w:szCs w:val="28"/>
        </w:rPr>
        <w:t xml:space="preserve">8.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680"/>
        <w:gridCol w:w="2480"/>
      </w:tblGrid>
      <w:tr>
        <w:trPr>
          <w:tblHeader/>
        </w:trPr>
        <w:tc>
          <w:tcPr>
            <w:tcW w:type="dxa" w:w="200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120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w:t>
            </w:r>
          </w:p>
        </w:tc>
        <w:tc>
          <w:tcPr>
            <w:tcW w:type="dxa" w:w="368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Activities</w:t>
            </w:r>
          </w:p>
        </w:tc>
        <w:tc>
          <w:tcPr>
            <w:tcW w:type="dxa" w:w="248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vAlign w:val="center"/>
          </w:tcPr>
          <w:p>
            <w:r>
              <w:rPr>
                <w:rFonts w:ascii="Arial" w:cs="Arial" w:eastAsia="Arial" w:hAnsi="Arial"/>
                <w:b/>
                <w:bCs/>
                <w:color w:val="FFFFFF"/>
                <w:sz w:val="20"/>
                <w:szCs w:val="20"/>
              </w:rPr>
              <w:t xml:space="preserve">Deliverables</w:t>
            </w:r>
          </w:p>
        </w:tc>
      </w:tr>
      <w:tr>
        <w:tc>
          <w:tcPr>
            <w:tcW w:type="dxa" w:w="20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Phase 1 — Setup</w:t>
            </w:r>
          </w:p>
        </w:tc>
        <w:tc>
          <w:tcPr>
            <w:tcW w:type="dxa" w:w="12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Week 1</w:t>
            </w:r>
          </w:p>
        </w:tc>
        <w:tc>
          <w:tcPr>
            <w:tcW w:type="dxa" w:w="368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Server provisioning
Database init
Email mailbox config
Blacklist data import</w:t>
            </w:r>
          </w:p>
        </w:tc>
        <w:tc>
          <w:tcPr>
            <w:tcW w:type="dxa" w:w="248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System live on DRI hardware
Email watcher active</w:t>
            </w:r>
          </w:p>
        </w:tc>
      </w:tr>
      <w:tr>
        <w:tc>
          <w:tcPr>
            <w:tcW w:type="dxa" w:w="20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Phase 2 — Integration &amp; UAT</w:t>
            </w:r>
          </w:p>
        </w:tc>
        <w:tc>
          <w:tcPr>
            <w:tcW w:type="dxa" w:w="12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Weeks 2–3</w:t>
            </w:r>
          </w:p>
        </w:tc>
        <w:tc>
          <w:tcPr>
            <w:tcW w:type="dxa" w:w="368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Parser config (6E, IX, TG)
End-to-end manifest test
Blacklist match validation
User acceptance testing</w:t>
            </w:r>
          </w:p>
        </w:tc>
        <w:tc>
          <w:tcPr>
            <w:tcW w:type="dxa" w:w="248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UAT sign-off
Live alert from real manifest</w:t>
            </w:r>
          </w:p>
        </w:tc>
      </w:tr>
      <w:tr>
        <w:tc>
          <w:tcPr>
            <w:tcW w:type="dxa" w:w="20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Phase 3 — Training &amp; Go-Live</w:t>
            </w:r>
          </w:p>
        </w:tc>
        <w:tc>
          <w:tcPr>
            <w:tcW w:type="dxa" w:w="12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Week 4</w:t>
            </w:r>
          </w:p>
        </w:tc>
        <w:tc>
          <w:tcPr>
            <w:tcW w:type="dxa" w:w="368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Operator training (Day 1)
Administrator training (Day 2)
Go-live + 48 h monitoring
Documentation handover</w:t>
            </w:r>
          </w:p>
        </w:tc>
        <w:tc>
          <w:tcPr>
            <w:tcW w:type="dxa" w:w="248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Trained DRI staff
System in production</w:t>
            </w:r>
          </w:p>
        </w:tc>
      </w:tr>
    </w:tbl>
    <w:p>
      <w:r>
        <w:br w:type="page"/>
      </w:r>
    </w:p>
    <w:p>
      <w:pPr>
        <w:pStyle w:val="Heading1"/>
        <w:pBdr>
          <w:bottom w:val="single" w:color="C8960C" w:sz="12"/>
        </w:pBdr>
        <w:spacing w:after="120" w:before="360"/>
      </w:pPr>
      <w:r>
        <w:rPr>
          <w:rFonts w:ascii="Arial" w:cs="Arial" w:eastAsia="Arial" w:hAnsi="Arial"/>
          <w:b/>
          <w:bCs/>
          <w:color w:val="1B2E4B"/>
          <w:sz w:val="28"/>
          <w:szCs w:val="28"/>
        </w:rPr>
        <w:t xml:space="preserve">9.  Support &amp; Service Level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rPr>
          <w:tblHeader/>
        </w:trPr>
        <w:tc>
          <w:tcPr>
            <w:tcW w:type="dxa" w:w="200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c>
          <w:tcPr>
            <w:tcW w:type="dxa" w:w="300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vAlign w:val="center"/>
          </w:tcPr>
          <w:p>
            <w:r>
              <w:rPr>
                <w:rFonts w:ascii="Arial" w:cs="Arial" w:eastAsia="Arial" w:hAnsi="Arial"/>
                <w:b/>
                <w:bCs/>
                <w:color w:val="FFFFFF"/>
                <w:sz w:val="20"/>
                <w:szCs w:val="20"/>
              </w:rPr>
              <w:t xml:space="preserve">Scenario</w:t>
            </w:r>
          </w:p>
        </w:tc>
        <w:tc>
          <w:tcPr>
            <w:tcW w:type="dxa" w:w="220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Response SLA</w:t>
            </w:r>
          </w:p>
        </w:tc>
        <w:tc>
          <w:tcPr>
            <w:tcW w:type="dxa" w:w="2160"/>
            <w:tcBorders>
              <w:top w:val="single" w:color="1B2E4B" w:sz="4"/>
              <w:left w:val="single" w:color="1B2E4B" w:sz="4"/>
              <w:bottom w:val="single" w:color="1B2E4B" w:sz="4"/>
              <w:right w:val="single" w:color="1B2E4B" w:sz="4"/>
            </w:tcBorders>
            <w:shd w:fill="1B2E4B"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Resolution SLA</w:t>
            </w:r>
          </w:p>
        </w:tc>
      </w:tr>
      <w:tr>
        <w:tc>
          <w:tcPr>
            <w:tcW w:type="dxa" w:w="20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P1 — Critical</w:t>
            </w:r>
          </w:p>
        </w:tc>
        <w:tc>
          <w:tcPr>
            <w:tcW w:type="dxa" w:w="30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System down / alerts not generating</w:t>
            </w:r>
          </w:p>
        </w:tc>
        <w:tc>
          <w:tcPr>
            <w:tcW w:type="dxa" w:w="22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4 hours</w:t>
            </w:r>
          </w:p>
        </w:tc>
        <w:tc>
          <w:tcPr>
            <w:tcW w:type="dxa" w:w="216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Next business day</w:t>
            </w:r>
          </w:p>
        </w:tc>
      </w:tr>
      <w:tr>
        <w:tc>
          <w:tcPr>
            <w:tcW w:type="dxa" w:w="20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P2 — High</w:t>
            </w:r>
          </w:p>
        </w:tc>
        <w:tc>
          <w:tcPr>
            <w:tcW w:type="dxa" w:w="30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Core feature impaired</w:t>
            </w:r>
          </w:p>
        </w:tc>
        <w:tc>
          <w:tcPr>
            <w:tcW w:type="dxa" w:w="22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8 hours</w:t>
            </w:r>
          </w:p>
        </w:tc>
        <w:tc>
          <w:tcPr>
            <w:tcW w:type="dxa" w:w="216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2 business days</w:t>
            </w:r>
          </w:p>
        </w:tc>
      </w:tr>
      <w:tr>
        <w:tc>
          <w:tcPr>
            <w:tcW w:type="dxa" w:w="20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P3 — Medium</w:t>
            </w:r>
          </w:p>
        </w:tc>
        <w:tc>
          <w:tcPr>
            <w:tcW w:type="dxa" w:w="30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Non-critical functionality</w:t>
            </w:r>
          </w:p>
        </w:tc>
        <w:tc>
          <w:tcPr>
            <w:tcW w:type="dxa" w:w="220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1 business day</w:t>
            </w:r>
          </w:p>
        </w:tc>
        <w:tc>
          <w:tcPr>
            <w:tcW w:type="dxa" w:w="2160"/>
            <w:tcBorders>
              <w:top w:val="single" w:color="D9E2EE" w:sz="4"/>
              <w:left w:val="single" w:color="D9E2EE" w:sz="4"/>
              <w:bottom w:val="single" w:color="D9E2EE" w:sz="4"/>
              <w:right w:val="single" w:color="D9E2EE" w:sz="4"/>
            </w:tcBorders>
            <w:shd w:fill="F2F5F9" w:val="clear"/>
            <w:tcMar>
              <w:top w:type="dxa" w:w="80"/>
              <w:left w:type="dxa" w:w="140"/>
              <w:bottom w:type="dxa" w:w="80"/>
              <w:right w:type="dxa" w:w="140"/>
            </w:tcMar>
          </w:tcPr>
          <w:p>
            <w:r>
              <w:rPr>
                <w:rFonts w:ascii="Arial" w:cs="Arial" w:eastAsia="Arial" w:hAnsi="Arial"/>
                <w:color w:val="1A1A2E"/>
                <w:sz w:val="20"/>
                <w:szCs w:val="20"/>
              </w:rPr>
              <w:t xml:space="preserve">5 business days</w:t>
            </w:r>
          </w:p>
        </w:tc>
      </w:tr>
      <w:tr>
        <w:tc>
          <w:tcPr>
            <w:tcW w:type="dxa" w:w="20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P4 — Low</w:t>
            </w:r>
          </w:p>
        </w:tc>
        <w:tc>
          <w:tcPr>
            <w:tcW w:type="dxa" w:w="30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Enhancements / queries</w:t>
            </w:r>
          </w:p>
        </w:tc>
        <w:tc>
          <w:tcPr>
            <w:tcW w:type="dxa" w:w="220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2 business days</w:t>
            </w:r>
          </w:p>
        </w:tc>
        <w:tc>
          <w:tcPr>
            <w:tcW w:type="dxa" w:w="2160"/>
            <w:tcBorders>
              <w:top w:val="single" w:color="D9E2EE" w:sz="4"/>
              <w:left w:val="single" w:color="D9E2EE" w:sz="4"/>
              <w:bottom w:val="single" w:color="D9E2EE" w:sz="4"/>
              <w:right w:val="single" w:color="D9E2EE"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As agreed</w:t>
            </w:r>
          </w:p>
        </w:tc>
      </w:tr>
    </w:tbl>
    <w:p>
      <w:pPr>
        <w:spacing w:after="160" w:before="0"/>
      </w:pPr>
    </w:p>
    <w:p>
      <w:pPr>
        <w:pStyle w:val="ListParagraph"/>
        <w:numPr>
          <w:ilvl w:val="0"/>
          <w:numId w:val="2"/>
        </w:numPr>
        <w:spacing w:after="80" w:before="0"/>
      </w:pPr>
      <w:r>
        <w:rPr>
          <w:rFonts w:ascii="Arial" w:cs="Arial" w:eastAsia="Arial" w:hAnsi="Arial"/>
          <w:color w:val="1A1A2E"/>
          <w:sz w:val="22"/>
          <w:szCs w:val="22"/>
        </w:rPr>
        <w:t xml:space="preserve">All bug fixes and security patches included in AMC at no extra cost</w:t>
      </w:r>
    </w:p>
    <w:p>
      <w:pPr>
        <w:pStyle w:val="ListParagraph"/>
        <w:numPr>
          <w:ilvl w:val="0"/>
          <w:numId w:val="2"/>
        </w:numPr>
        <w:spacing w:after="80" w:before="0"/>
      </w:pPr>
      <w:r>
        <w:rPr>
          <w:rFonts w:ascii="Arial" w:cs="Arial" w:eastAsia="Arial" w:hAnsi="Arial"/>
          <w:color w:val="1A1A2E"/>
          <w:sz w:val="22"/>
          <w:szCs w:val="22"/>
        </w:rPr>
        <w:t xml:space="preserve">New airline format support within 10 working days of written request</w:t>
      </w:r>
    </w:p>
    <w:p>
      <w:pPr>
        <w:pStyle w:val="ListParagraph"/>
        <w:numPr>
          <w:ilvl w:val="0"/>
          <w:numId w:val="2"/>
        </w:numPr>
        <w:spacing w:after="80" w:before="0"/>
      </w:pPr>
      <w:r>
        <w:rPr>
          <w:rFonts w:ascii="Arial" w:cs="Arial" w:eastAsia="Arial" w:hAnsi="Arial"/>
          <w:color w:val="1A1A2E"/>
          <w:sz w:val="22"/>
          <w:szCs w:val="22"/>
        </w:rPr>
        <w:t xml:space="preserve">Annual on-site health check visit included in AMC</w:t>
      </w:r>
    </w:p>
    <w:p>
      <w:pPr>
        <w:pStyle w:val="ListParagraph"/>
        <w:numPr>
          <w:ilvl w:val="0"/>
          <w:numId w:val="2"/>
        </w:numPr>
        <w:spacing w:after="80" w:before="0"/>
      </w:pPr>
      <w:r>
        <w:rPr>
          <w:rFonts w:ascii="Arial" w:cs="Arial" w:eastAsia="Arial" w:hAnsi="Arial"/>
          <w:color w:val="1A1A2E"/>
          <w:sz w:val="22"/>
          <w:szCs w:val="22"/>
        </w:rPr>
        <w:t xml:space="preserve">Direct telephone and email support during business hours (Mon–Fri, 09:00–17:00)</w:t>
      </w:r>
    </w:p>
    <w:p>
      <w:r>
        <w:br w:type="page"/>
      </w:r>
    </w:p>
    <w:p>
      <w:pPr>
        <w:pStyle w:val="Heading1"/>
        <w:pBdr>
          <w:bottom w:val="single" w:color="C8960C" w:sz="12"/>
        </w:pBdr>
        <w:spacing w:after="120" w:before="360"/>
      </w:pPr>
      <w:r>
        <w:rPr>
          <w:rFonts w:ascii="Arial" w:cs="Arial" w:eastAsia="Arial" w:hAnsi="Arial"/>
          <w:b/>
          <w:bCs/>
          <w:color w:val="1B2E4B"/>
          <w:sz w:val="28"/>
          <w:szCs w:val="28"/>
        </w:rPr>
        <w:t xml:space="preserve">10.  Terms &amp; Conditions</w:t>
      </w:r>
    </w:p>
    <w:p>
      <w:pPr>
        <w:pStyle w:val="Heading2"/>
        <w:spacing w:after="80" w:before="240"/>
      </w:pPr>
      <w:r>
        <w:rPr>
          <w:rFonts w:ascii="Arial" w:cs="Arial" w:eastAsia="Arial" w:hAnsi="Arial"/>
          <w:b/>
          <w:bCs/>
          <w:color w:val="1B2E4B"/>
          <w:sz w:val="24"/>
          <w:szCs w:val="24"/>
        </w:rPr>
        <w:t xml:space="preserve">11.1  Licence</w:t>
      </w:r>
    </w:p>
    <w:p>
      <w:pPr>
        <w:spacing w:after="120" w:before="0"/>
      </w:pPr>
      <w:r>
        <w:rPr>
          <w:rFonts w:ascii="Arial" w:cs="Arial" w:eastAsia="Arial" w:hAnsi="Arial"/>
          <w:color w:val="1A1A2E"/>
          <w:sz w:val="22"/>
          <w:szCs w:val="22"/>
        </w:rPr>
        <w:t xml:space="preserve">Upon full payment, DRI is granted a perpetual, non-exclusive, non-transferable licence to use, operate, and modify Manifest Watch within the licensed site. Full source code is delivered on final payment. DRI may not sub-licence, resell, or distribute the software.</w:t>
      </w:r>
    </w:p>
    <w:p>
      <w:pPr>
        <w:spacing w:after="120" w:before="0"/>
      </w:pPr>
    </w:p>
    <w:p>
      <w:pPr>
        <w:pStyle w:val="Heading2"/>
        <w:spacing w:after="80" w:before="240"/>
      </w:pPr>
      <w:r>
        <w:rPr>
          <w:rFonts w:ascii="Arial" w:cs="Arial" w:eastAsia="Arial" w:hAnsi="Arial"/>
          <w:b/>
          <w:bCs/>
          <w:color w:val="1B2E4B"/>
          <w:sz w:val="24"/>
          <w:szCs w:val="24"/>
        </w:rPr>
        <w:t xml:space="preserve">11.2  Confidentiality</w:t>
      </w:r>
    </w:p>
    <w:p>
      <w:pPr>
        <w:spacing w:after="120" w:before="0"/>
      </w:pPr>
      <w:r>
        <w:rPr>
          <w:rFonts w:ascii="Arial" w:cs="Arial" w:eastAsia="Arial" w:hAnsi="Arial"/>
          <w:color w:val="1A1A2E"/>
          <w:sz w:val="22"/>
          <w:szCs w:val="22"/>
        </w:rPr>
        <w:t xml:space="preserve">Both parties maintain confidentiality of all shared information. DRI's operational data, blacklist contents, and manifest data remain DRI's exclusive property at all times. The vendor has no access to DRI's data.</w:t>
      </w:r>
    </w:p>
    <w:p>
      <w:pPr>
        <w:spacing w:after="120" w:before="0"/>
      </w:pPr>
    </w:p>
    <w:p>
      <w:pPr>
        <w:pStyle w:val="Heading2"/>
        <w:spacing w:after="80" w:before="240"/>
      </w:pPr>
      <w:r>
        <w:rPr>
          <w:rFonts w:ascii="Arial" w:cs="Arial" w:eastAsia="Arial" w:hAnsi="Arial"/>
          <w:b/>
          <w:bCs/>
          <w:color w:val="1B2E4B"/>
          <w:sz w:val="24"/>
          <w:szCs w:val="24"/>
        </w:rPr>
        <w:t xml:space="preserve">11.3  Warranty</w:t>
      </w:r>
    </w:p>
    <w:p>
      <w:pPr>
        <w:spacing w:after="120" w:before="0"/>
      </w:pPr>
      <w:r>
        <w:rPr>
          <w:rFonts w:ascii="Arial" w:cs="Arial" w:eastAsia="Arial" w:hAnsi="Arial"/>
          <w:color w:val="1A1A2E"/>
          <w:sz w:val="22"/>
          <w:szCs w:val="22"/>
        </w:rPr>
        <w:t xml:space="preserve">Software is warranted to perform materially as described for 12 months from go-live. Defects reported within this period are rectified at no extra cost. Warranty does not cover issues from unauthorised third-party modifications.</w:t>
      </w:r>
    </w:p>
    <w:p>
      <w:pPr>
        <w:spacing w:after="120" w:before="0"/>
      </w:pPr>
    </w:p>
    <w:p>
      <w:pPr>
        <w:pStyle w:val="Heading2"/>
        <w:spacing w:after="80" w:before="240"/>
      </w:pPr>
      <w:r>
        <w:rPr>
          <w:rFonts w:ascii="Arial" w:cs="Arial" w:eastAsia="Arial" w:hAnsi="Arial"/>
          <w:b/>
          <w:bCs/>
          <w:color w:val="1B2E4B"/>
          <w:sz w:val="24"/>
          <w:szCs w:val="24"/>
        </w:rPr>
        <w:t xml:space="preserve">11.4  Liability</w:t>
      </w:r>
    </w:p>
    <w:p>
      <w:pPr>
        <w:spacing w:after="120" w:before="0"/>
      </w:pPr>
      <w:r>
        <w:rPr>
          <w:rFonts w:ascii="Arial" w:cs="Arial" w:eastAsia="Arial" w:hAnsi="Arial"/>
          <w:color w:val="1A1A2E"/>
          <w:sz w:val="22"/>
          <w:szCs w:val="22"/>
        </w:rPr>
        <w:t xml:space="preserve">Aggregate vendor liability shall not exceed total fees paid in the 12 months preceding the claim. The vendor is not liable for indirect or consequential damages.</w:t>
      </w:r>
    </w:p>
    <w:p>
      <w:pPr>
        <w:spacing w:after="120" w:before="0"/>
      </w:pPr>
    </w:p>
    <w:p>
      <w:pPr>
        <w:pStyle w:val="Heading2"/>
        <w:spacing w:after="80" w:before="240"/>
      </w:pPr>
      <w:r>
        <w:rPr>
          <w:rFonts w:ascii="Arial" w:cs="Arial" w:eastAsia="Arial" w:hAnsi="Arial"/>
          <w:b/>
          <w:bCs/>
          <w:color w:val="1B2E4B"/>
          <w:sz w:val="24"/>
          <w:szCs w:val="24"/>
        </w:rPr>
        <w:t xml:space="preserve">11.5  Governing Law</w:t>
      </w:r>
    </w:p>
    <w:p>
      <w:pPr>
        <w:spacing w:after="120" w:before="0"/>
      </w:pPr>
      <w:r>
        <w:rPr>
          <w:rFonts w:ascii="Arial" w:cs="Arial" w:eastAsia="Arial" w:hAnsi="Arial"/>
          <w:color w:val="1A1A2E"/>
          <w:sz w:val="22"/>
          <w:szCs w:val="22"/>
        </w:rPr>
        <w:t xml:space="preserve">This agreement is governed by Indian law. Disputes are subject to the exclusive jurisdiction of courts in New Delhi.</w:t>
      </w:r>
    </w:p>
    <w:p>
      <w:pPr>
        <w:spacing w:after="120" w:before="0"/>
      </w:pPr>
    </w:p>
    <w:p>
      <w:pPr>
        <w:pStyle w:val="Heading2"/>
        <w:spacing w:after="80" w:before="240"/>
      </w:pPr>
      <w:r>
        <w:rPr>
          <w:rFonts w:ascii="Arial" w:cs="Arial" w:eastAsia="Arial" w:hAnsi="Arial"/>
          <w:b/>
          <w:bCs/>
          <w:color w:val="1B2E4B"/>
          <w:sz w:val="24"/>
          <w:szCs w:val="24"/>
        </w:rPr>
        <w:t xml:space="preserve">11.6  Validity</w:t>
      </w:r>
    </w:p>
    <w:p>
      <w:pPr>
        <w:spacing w:after="120" w:before="0"/>
      </w:pPr>
      <w:r>
        <w:rPr>
          <w:rFonts w:ascii="Arial" w:cs="Arial" w:eastAsia="Arial" w:hAnsi="Arial"/>
          <w:color w:val="1A1A2E"/>
          <w:sz w:val="22"/>
          <w:szCs w:val="22"/>
        </w:rPr>
        <w:t xml:space="preserve">This proposal is valid for 90 days from the date of issue (i.e., until 5 October 2026).</w:t>
      </w:r>
    </w:p>
    <w:p>
      <w:r>
        <w:br w:type="page"/>
      </w:r>
    </w:p>
    <w:p>
      <w:pPr>
        <w:pStyle w:val="Heading1"/>
        <w:pBdr>
          <w:bottom w:val="single" w:color="C8960C" w:sz="12"/>
        </w:pBdr>
        <w:spacing w:after="120" w:before="360"/>
      </w:pPr>
      <w:r>
        <w:rPr>
          <w:rFonts w:ascii="Arial" w:cs="Arial" w:eastAsia="Arial" w:hAnsi="Arial"/>
          <w:b/>
          <w:bCs/>
          <w:color w:val="1B2E4B"/>
          <w:sz w:val="28"/>
          <w:szCs w:val="28"/>
        </w:rPr>
        <w:t xml:space="preserve">11.  Acceptance &amp; Authorised Signatory</w:t>
      </w:r>
    </w:p>
    <w:p>
      <w:pPr>
        <w:spacing w:after="120" w:before="0"/>
      </w:pPr>
      <w:r>
        <w:rPr>
          <w:rFonts w:ascii="Arial" w:cs="Arial" w:eastAsia="Arial" w:hAnsi="Arial"/>
          <w:color w:val="1A1A2E"/>
          <w:sz w:val="22"/>
          <w:szCs w:val="22"/>
        </w:rPr>
        <w:t xml:space="preserve">By signing below, both parties agree to the terms in this commercial proposal and authorise commencement of procurement proceedings.</w:t>
      </w:r>
    </w:p>
    <w:p>
      <w:pPr>
        <w:spacing w:after="3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il" w:color="FFFFFF" w:sz="0"/>
              <w:left w:val="nil" w:color="FFFFFF" w:sz="0"/>
              <w:bottom w:val="nil" w:color="FFFFFF" w:sz="0"/>
              <w:right w:val="nil" w:color="FFFFFF" w:sz="0"/>
            </w:tcBorders>
            <w:tcMar>
              <w:top w:type="dxa" w:w="80"/>
              <w:left w:type="dxa" w:w="0"/>
              <w:bottom w:type="dxa" w:w="80"/>
              <w:right w:type="dxa" w:w="200"/>
            </w:tcMar>
          </w:tcPr>
          <w:p>
            <w:pPr>
              <w:spacing w:after="60" w:before="0"/>
            </w:pPr>
            <w:r>
              <w:rPr>
                <w:rFonts w:ascii="Arial" w:cs="Arial" w:eastAsia="Arial" w:hAnsi="Arial"/>
                <w:b/>
                <w:bCs/>
                <w:caps/>
                <w:color w:val="1B2E4B"/>
                <w:sz w:val="20"/>
                <w:szCs w:val="20"/>
              </w:rPr>
              <w:t xml:space="preserve">FOR THE VENDOR</w:t>
            </w:r>
          </w:p>
          <w:p>
            <w:pPr>
              <w:spacing w:after="400" w:before="0"/>
            </w:pPr>
          </w:p>
          <w:p>
            <w:pPr>
              <w:pBdr>
                <w:bottom w:val="single" w:color="1B2E4B" w:sz="4"/>
              </w:pBdr>
              <w:spacing w:after="40" w:before="0"/>
            </w:pPr>
          </w:p>
          <w:p>
            <w:pPr>
              <w:spacing w:after="0" w:before="60"/>
            </w:pPr>
            <w:r>
              <w:rPr>
                <w:rFonts w:ascii="Arial" w:cs="Arial" w:eastAsia="Arial" w:hAnsi="Arial"/>
                <w:b/>
                <w:bCs/>
                <w:color w:val="1A1A2E"/>
                <w:sz w:val="21"/>
                <w:szCs w:val="21"/>
              </w:rPr>
              <w:t xml:space="preserve">Tejasw Gupta</w:t>
            </w:r>
          </w:p>
          <w:p>
            <w:pPr>
              <w:spacing w:after="0" w:before="0"/>
            </w:pPr>
            <w:r>
              <w:rPr>
                <w:rFonts w:ascii="Arial" w:cs="Arial" w:eastAsia="Arial" w:hAnsi="Arial"/>
                <w:color w:val="5A6A80"/>
                <w:sz w:val="20"/>
                <w:szCs w:val="20"/>
              </w:rPr>
              <w:t xml:space="preserve">Authorised Signatory</w:t>
            </w:r>
          </w:p>
          <w:p>
            <w:pPr>
              <w:spacing w:after="0" w:before="0"/>
            </w:pPr>
            <w:r>
              <w:rPr>
                <w:rFonts w:ascii="Arial" w:cs="Arial" w:eastAsia="Arial" w:hAnsi="Arial"/>
                <w:color w:val="5A6A80"/>
                <w:sz w:val="20"/>
                <w:szCs w:val="20"/>
              </w:rPr>
              <w:t xml:space="preserve">Date: ___________________</w:t>
            </w:r>
          </w:p>
        </w:tc>
        <w:tc>
          <w:tcPr>
            <w:tcW w:type="dxa" w:w="4860"/>
            <w:tcBorders>
              <w:top w:val="nil" w:color="FFFFFF" w:sz="0"/>
              <w:left w:val="nil" w:color="FFFFFF" w:sz="0"/>
              <w:bottom w:val="nil" w:color="FFFFFF" w:sz="0"/>
              <w:right w:val="nil" w:color="FFFFFF" w:sz="0"/>
            </w:tcBorders>
            <w:tcMar>
              <w:top w:type="dxa" w:w="80"/>
              <w:left w:type="dxa" w:w="200"/>
              <w:bottom w:type="dxa" w:w="80"/>
              <w:right w:type="dxa" w:w="0"/>
            </w:tcMar>
          </w:tcPr>
          <w:p>
            <w:pPr>
              <w:spacing w:after="60" w:before="0"/>
            </w:pPr>
            <w:r>
              <w:rPr>
                <w:rFonts w:ascii="Arial" w:cs="Arial" w:eastAsia="Arial" w:hAnsi="Arial"/>
                <w:b/>
                <w:bCs/>
                <w:caps/>
                <w:color w:val="1B2E4B"/>
                <w:sz w:val="20"/>
                <w:szCs w:val="20"/>
              </w:rPr>
              <w:t xml:space="preserve">FOR DRI (PURCHASER)</w:t>
            </w:r>
          </w:p>
          <w:p>
            <w:pPr>
              <w:spacing w:after="400" w:before="0"/>
            </w:pPr>
          </w:p>
          <w:p>
            <w:pPr>
              <w:pBdr>
                <w:bottom w:val="single" w:color="1B2E4B" w:sz="4"/>
              </w:pBdr>
              <w:spacing w:after="40" w:before="0"/>
            </w:pPr>
          </w:p>
          <w:p>
            <w:pPr>
              <w:spacing w:after="0" w:before="60"/>
            </w:pPr>
            <w:r>
              <w:rPr>
                <w:rFonts w:ascii="Arial" w:cs="Arial" w:eastAsia="Arial" w:hAnsi="Arial"/>
                <w:color w:val="5A6A80"/>
                <w:sz w:val="21"/>
                <w:szCs w:val="21"/>
              </w:rPr>
              <w:t xml:space="preserve">Name: ___________________</w:t>
            </w:r>
          </w:p>
          <w:p>
            <w:pPr>
              <w:spacing w:after="0" w:before="0"/>
            </w:pPr>
            <w:r>
              <w:rPr>
                <w:rFonts w:ascii="Arial" w:cs="Arial" w:eastAsia="Arial" w:hAnsi="Arial"/>
                <w:color w:val="5A6A80"/>
                <w:sz w:val="20"/>
                <w:szCs w:val="20"/>
              </w:rPr>
              <w:t xml:space="preserve">Designation: _____________</w:t>
            </w:r>
          </w:p>
          <w:p>
            <w:pPr>
              <w:spacing w:after="0" w:before="0"/>
            </w:pPr>
            <w:r>
              <w:rPr>
                <w:rFonts w:ascii="Arial" w:cs="Arial" w:eastAsia="Arial" w:hAnsi="Arial"/>
                <w:color w:val="5A6A80"/>
                <w:sz w:val="20"/>
                <w:szCs w:val="20"/>
              </w:rPr>
              <w:t xml:space="preserve">Date: ___________________</w:t>
            </w:r>
          </w:p>
          <w:p>
            <w:pPr>
              <w:spacing w:after="0" w:before="0"/>
            </w:pPr>
            <w:r>
              <w:rPr>
                <w:rFonts w:ascii="Arial" w:cs="Arial" w:eastAsia="Arial" w:hAnsi="Arial"/>
                <w:color w:val="5A6A80"/>
                <w:sz w:val="20"/>
                <w:szCs w:val="20"/>
              </w:rPr>
              <w:t xml:space="preserve">Official Seal:</w:t>
            </w:r>
          </w:p>
        </w:tc>
      </w:tr>
    </w:tbl>
    <w:p>
      <w:pPr>
        <w:spacing w:after="400" w:before="0"/>
      </w:pPr>
    </w:p>
    <w:p>
      <w:pPr>
        <w:pBdr>
          <w:top w:val="single" w:color="C8960C" w:sz="8"/>
        </w:pBdr>
        <w:spacing w:after="0" w:before="200"/>
        <w:jc w:val="center"/>
      </w:pPr>
      <w:r>
        <w:rPr>
          <w:rFonts w:ascii="Arial" w:cs="Arial" w:eastAsia="Arial" w:hAnsi="Arial"/>
          <w:i/>
          <w:iCs/>
          <w:color w:val="5A6A80"/>
          <w:sz w:val="17"/>
          <w:szCs w:val="17"/>
        </w:rPr>
        <w:t xml:space="preserve">Manifest Watch  |  Commercial Proposal  |  July 2026  |  TG/DRI/MW/2026/01  |  CONFIDENTIAL</w:t>
      </w:r>
    </w:p>
    <w:sectPr>
      <w:headerReference w:type="default" r:id="rId7"/>
      <w:footerReference w:type="default" r:id="rId8"/>
      <w:pgSz w:w="11906" w:h="16838" w:orient="portrait"/>
      <w:pgMar w:top="1440"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E" w:sz="4"/>
      </w:pBdr>
      <w:spacing w:after="0" w:before="80"/>
      <w:jc w:val="center"/>
    </w:pPr>
    <w:r>
      <w:rPr>
        <w:rFonts w:ascii="Arial" w:cs="Arial" w:eastAsia="Arial" w:hAnsi="Arial"/>
        <w:color w:val="5A6A80"/>
        <w:sz w:val="18"/>
        <w:szCs w:val="18"/>
      </w:rPr>
      <w:t xml:space="preserve">Page </w:t>
    </w:r>
    <w:r>
      <w:rPr>
        <w:rFonts w:ascii="Arial" w:cs="Arial" w:eastAsia="Arial" w:hAnsi="Arial"/>
        <w:color w:val="5A6A80"/>
        <w:sz w:val="18"/>
        <w:szCs w:val="18"/>
      </w:rPr>
      <w:fldChar w:fldCharType="begin"/>
      <w:instrText xml:space="preserve">PAGE</w:instrText>
      <w:fldChar w:fldCharType="separate"/>
      <w:fldChar w:fldCharType="end"/>
    </w:r>
    <w:r>
      <w:rPr>
        <w:rFonts w:ascii="Arial" w:cs="Arial" w:eastAsia="Arial" w:hAnsi="Arial"/>
        <w:color w:val="5A6A80"/>
        <w:sz w:val="18"/>
        <w:szCs w:val="18"/>
      </w:rPr>
      <w:t xml:space="preserve"> of </w:t>
    </w:r>
    <w:r>
      <w:rPr>
        <w:rFonts w:ascii="Arial" w:cs="Arial" w:eastAsia="Arial" w:hAnsi="Arial"/>
        <w:color w:val="5A6A80"/>
        <w:sz w:val="18"/>
        <w:szCs w:val="18"/>
      </w:rPr>
      <w:fldChar w:fldCharType="begin"/>
      <w:instrText xml:space="preserve">NUMPAGES</w:instrText>
      <w:fldChar w:fldCharType="separate"/>
      <w:fldChar w:fldCharType="end"/>
    </w:r>
    <w:r>
      <w:rPr>
        <w:rFonts w:ascii="Arial" w:cs="Arial" w:eastAsia="Arial" w:hAnsi="Arial"/>
        <w:color w:val="5A6A80"/>
        <w:sz w:val="18"/>
        <w:szCs w:val="18"/>
      </w:rPr>
      <w:t xml:space="preserve">  |  Directorate of Revenue Intelligence  |  TG/DRI/MW/2026/01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0C" w:sz="6"/>
      </w:pBdr>
      <w:spacing w:after="120" w:before="0"/>
      <w:jc w:val="right"/>
    </w:pPr>
    <w:r>
      <w:rPr>
        <w:rFonts w:ascii="Arial" w:cs="Arial" w:eastAsia="Arial" w:hAnsi="Arial"/>
        <w:b/>
        <w:bCs/>
        <w:color w:val="C0392B"/>
        <w:sz w:val="18"/>
        <w:szCs w:val="18"/>
      </w:rPr>
      <w:t xml:space="preserve">CONFIDENTIAL  —  </w:t>
    </w:r>
    <w:r>
      <w:rPr>
        <w:rFonts w:ascii="Arial" w:cs="Arial" w:eastAsia="Arial" w:hAnsi="Arial"/>
        <w:color w:val="5A6A80"/>
        <w:sz w:val="18"/>
        <w:szCs w:val="18"/>
      </w:rPr>
      <w:t xml:space="preserve">Manifest Watch Commercial Proposal  |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E4B"/>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B2E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Proposal — Manifest Watch</dc:title>
  <dc:creator>Tejasw Gupta</dc:creator>
  <cp:lastModifiedBy>Un-named</cp:lastModifiedBy>
  <cp:revision>1</cp:revision>
  <dcterms:created xsi:type="dcterms:W3CDTF">2026-07-06T14:08:29.071Z</dcterms:created>
  <dcterms:modified xsi:type="dcterms:W3CDTF">2026-07-06T14:08:29.072Z</dcterms:modified>
</cp:coreProperties>
</file>

<file path=docProps/custom.xml><?xml version="1.0" encoding="utf-8"?>
<Properties xmlns="http://schemas.openxmlformats.org/officeDocument/2006/custom-properties" xmlns:vt="http://schemas.openxmlformats.org/officeDocument/2006/docPropsVTypes"/>
</file>