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0194" w:rsidRPr="00500194" w:rsidRDefault="00500194" w:rsidP="0050019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00194">
        <w:rPr>
          <w:rFonts w:ascii="Times New Roman" w:eastAsia="Times New Roman" w:hAnsi="Times New Roman" w:cs="Times New Roman"/>
          <w:b/>
          <w:bCs/>
          <w:kern w:val="36"/>
          <w:sz w:val="48"/>
          <w:szCs w:val="48"/>
        </w:rPr>
        <w:t>Customer Churn Analysis Dashboard</w:t>
      </w:r>
    </w:p>
    <w:p w:rsidR="00500194" w:rsidRPr="00500194" w:rsidRDefault="00500194" w:rsidP="00500194">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500194">
        <w:rPr>
          <w:rFonts w:ascii="Times New Roman" w:eastAsia="Times New Roman" w:hAnsi="Times New Roman" w:cs="Times New Roman"/>
          <w:b/>
          <w:bCs/>
          <w:sz w:val="36"/>
          <w:szCs w:val="36"/>
        </w:rPr>
        <w:t>Project Overview</w:t>
      </w:r>
    </w:p>
    <w:p w:rsidR="00500194" w:rsidRPr="00500194" w:rsidRDefault="00500194" w:rsidP="00500194">
      <w:p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 xml:space="preserve">This project is an interactive </w:t>
      </w:r>
      <w:r w:rsidRPr="00500194">
        <w:rPr>
          <w:rFonts w:ascii="Times New Roman" w:eastAsia="Times New Roman" w:hAnsi="Times New Roman" w:cs="Times New Roman"/>
          <w:b/>
          <w:bCs/>
          <w:sz w:val="24"/>
          <w:szCs w:val="24"/>
        </w:rPr>
        <w:t>Customer Churn Analysis Dashboard</w:t>
      </w:r>
      <w:r w:rsidRPr="00500194">
        <w:rPr>
          <w:rFonts w:ascii="Times New Roman" w:eastAsia="Times New Roman" w:hAnsi="Times New Roman" w:cs="Times New Roman"/>
          <w:sz w:val="24"/>
          <w:szCs w:val="24"/>
        </w:rPr>
        <w:t xml:space="preserve"> built using </w:t>
      </w:r>
      <w:r w:rsidRPr="00500194">
        <w:rPr>
          <w:rFonts w:ascii="Times New Roman" w:eastAsia="Times New Roman" w:hAnsi="Times New Roman" w:cs="Times New Roman"/>
          <w:b/>
          <w:bCs/>
          <w:sz w:val="24"/>
          <w:szCs w:val="24"/>
        </w:rPr>
        <w:t>Power BI</w:t>
      </w:r>
      <w:r w:rsidRPr="00500194">
        <w:rPr>
          <w:rFonts w:ascii="Times New Roman" w:eastAsia="Times New Roman" w:hAnsi="Times New Roman" w:cs="Times New Roman"/>
          <w:sz w:val="24"/>
          <w:szCs w:val="24"/>
        </w:rPr>
        <w:t>. The dashboard helps analyze customer behavior, churn trends, service subscriptions, billing patterns, contract types, and key factors influencing customer retention.</w:t>
      </w:r>
    </w:p>
    <w:p w:rsidR="00500194" w:rsidRPr="00500194" w:rsidRDefault="00500194" w:rsidP="00500194">
      <w:p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The goal of this project is to provide actionable business insights that can help reduce customer churn and improve customer satisfaction.</w:t>
      </w:r>
    </w:p>
    <w:p w:rsidR="00500194" w:rsidRPr="00500194" w:rsidRDefault="00500194" w:rsidP="00500194">
      <w:pPr>
        <w:spacing w:after="0"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pict>
          <v:rect id="_x0000_i1025" style="width:0;height:1.5pt" o:hralign="center" o:hrstd="t" o:hr="t" fillcolor="#a0a0a0" stroked="f"/>
        </w:pict>
      </w:r>
    </w:p>
    <w:p w:rsidR="00500194" w:rsidRPr="00500194" w:rsidRDefault="00500194" w:rsidP="00500194">
      <w:pPr>
        <w:spacing w:before="100" w:beforeAutospacing="1" w:after="100" w:afterAutospacing="1" w:line="240" w:lineRule="auto"/>
        <w:outlineLvl w:val="1"/>
        <w:rPr>
          <w:rFonts w:ascii="Times New Roman" w:eastAsia="Times New Roman" w:hAnsi="Times New Roman" w:cs="Times New Roman"/>
          <w:b/>
          <w:bCs/>
          <w:sz w:val="36"/>
          <w:szCs w:val="36"/>
        </w:rPr>
      </w:pPr>
      <w:r w:rsidRPr="00500194">
        <w:rPr>
          <w:rFonts w:ascii="Segoe UI Emoji" w:eastAsia="Times New Roman" w:hAnsi="Segoe UI Emoji" w:cs="Segoe UI Emoji"/>
          <w:b/>
          <w:bCs/>
          <w:sz w:val="36"/>
          <w:szCs w:val="36"/>
        </w:rPr>
        <w:t>📊</w:t>
      </w:r>
      <w:r w:rsidRPr="00500194">
        <w:rPr>
          <w:rFonts w:ascii="Times New Roman" w:eastAsia="Times New Roman" w:hAnsi="Times New Roman" w:cs="Times New Roman"/>
          <w:b/>
          <w:bCs/>
          <w:sz w:val="36"/>
          <w:szCs w:val="36"/>
        </w:rPr>
        <w:t xml:space="preserve"> Dashboard Features</w:t>
      </w:r>
    </w:p>
    <w:p w:rsidR="00500194" w:rsidRPr="00500194" w:rsidRDefault="00500194" w:rsidP="00500194">
      <w:pPr>
        <w:spacing w:before="100" w:beforeAutospacing="1" w:after="100" w:afterAutospacing="1" w:line="240" w:lineRule="auto"/>
        <w:outlineLvl w:val="2"/>
        <w:rPr>
          <w:rFonts w:ascii="Times New Roman" w:eastAsia="Times New Roman" w:hAnsi="Times New Roman" w:cs="Times New Roman"/>
          <w:b/>
          <w:bCs/>
          <w:sz w:val="27"/>
          <w:szCs w:val="27"/>
        </w:rPr>
      </w:pPr>
      <w:r w:rsidRPr="00500194">
        <w:rPr>
          <w:rFonts w:ascii="Times New Roman" w:eastAsia="Times New Roman" w:hAnsi="Times New Roman" w:cs="Times New Roman"/>
          <w:b/>
          <w:bCs/>
          <w:sz w:val="27"/>
          <w:szCs w:val="27"/>
        </w:rPr>
        <w:t>1. Customer Demographics Analysis</w:t>
      </w:r>
    </w:p>
    <w:p w:rsidR="00500194" w:rsidRPr="00500194" w:rsidRDefault="00500194" w:rsidP="005001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Total Customers, Churned Customers, and Churn Rate KPIs</w:t>
      </w:r>
    </w:p>
    <w:p w:rsidR="00500194" w:rsidRPr="00500194" w:rsidRDefault="00500194" w:rsidP="005001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Gender distribution analysis</w:t>
      </w:r>
    </w:p>
    <w:p w:rsidR="00500194" w:rsidRPr="00500194" w:rsidRDefault="00500194" w:rsidP="005001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Senior citizen churn analysis</w:t>
      </w:r>
    </w:p>
    <w:p w:rsidR="00500194" w:rsidRPr="00500194" w:rsidRDefault="00500194" w:rsidP="005001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Tenure group comparison</w:t>
      </w:r>
    </w:p>
    <w:p w:rsidR="00500194" w:rsidRPr="00500194" w:rsidRDefault="00500194" w:rsidP="005001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Monthly charges analysis by gender and tenure</w:t>
      </w:r>
    </w:p>
    <w:p w:rsidR="00500194" w:rsidRPr="00500194" w:rsidRDefault="00500194" w:rsidP="0050019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Contract-based filtering options</w:t>
      </w:r>
    </w:p>
    <w:p w:rsidR="00500194" w:rsidRPr="00500194" w:rsidRDefault="00500194" w:rsidP="00500194">
      <w:pPr>
        <w:spacing w:before="100" w:beforeAutospacing="1" w:after="100" w:afterAutospacing="1" w:line="240" w:lineRule="auto"/>
        <w:outlineLvl w:val="2"/>
        <w:rPr>
          <w:rFonts w:ascii="Times New Roman" w:eastAsia="Times New Roman" w:hAnsi="Times New Roman" w:cs="Times New Roman"/>
          <w:b/>
          <w:bCs/>
          <w:sz w:val="27"/>
          <w:szCs w:val="27"/>
        </w:rPr>
      </w:pPr>
      <w:r w:rsidRPr="00500194">
        <w:rPr>
          <w:rFonts w:ascii="Times New Roman" w:eastAsia="Times New Roman" w:hAnsi="Times New Roman" w:cs="Times New Roman"/>
          <w:b/>
          <w:bCs/>
          <w:sz w:val="27"/>
          <w:szCs w:val="27"/>
        </w:rPr>
        <w:t>2. Service Subscription Analysis</w:t>
      </w:r>
    </w:p>
    <w:p w:rsidR="00500194" w:rsidRPr="00500194" w:rsidRDefault="00500194" w:rsidP="005001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Internet service analysis (DSL, Fiber Optic, No Internet)</w:t>
      </w:r>
    </w:p>
    <w:p w:rsidR="00500194" w:rsidRPr="00500194" w:rsidRDefault="00500194" w:rsidP="005001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Phone service distribution</w:t>
      </w:r>
    </w:p>
    <w:p w:rsidR="00500194" w:rsidRPr="00500194" w:rsidRDefault="00500194" w:rsidP="005001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Tech support impact on churn</w:t>
      </w:r>
    </w:p>
    <w:p w:rsidR="00500194" w:rsidRPr="00500194" w:rsidRDefault="00500194" w:rsidP="005001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Churn rate by internet service</w:t>
      </w:r>
    </w:p>
    <w:p w:rsidR="00500194" w:rsidRPr="00500194" w:rsidRDefault="00500194" w:rsidP="005001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Revenue loss analysis</w:t>
      </w:r>
    </w:p>
    <w:p w:rsidR="00500194" w:rsidRPr="00500194" w:rsidRDefault="00500194" w:rsidP="0050019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Service usage vs churn relationship</w:t>
      </w:r>
    </w:p>
    <w:p w:rsidR="00500194" w:rsidRPr="00500194" w:rsidRDefault="00500194" w:rsidP="00500194">
      <w:pPr>
        <w:spacing w:before="100" w:beforeAutospacing="1" w:after="100" w:afterAutospacing="1" w:line="240" w:lineRule="auto"/>
        <w:outlineLvl w:val="2"/>
        <w:rPr>
          <w:rFonts w:ascii="Times New Roman" w:eastAsia="Times New Roman" w:hAnsi="Times New Roman" w:cs="Times New Roman"/>
          <w:b/>
          <w:bCs/>
          <w:sz w:val="27"/>
          <w:szCs w:val="27"/>
        </w:rPr>
      </w:pPr>
      <w:r w:rsidRPr="00500194">
        <w:rPr>
          <w:rFonts w:ascii="Times New Roman" w:eastAsia="Times New Roman" w:hAnsi="Times New Roman" w:cs="Times New Roman"/>
          <w:b/>
          <w:bCs/>
          <w:sz w:val="27"/>
          <w:szCs w:val="27"/>
        </w:rPr>
        <w:t>3. Contract &amp; Billing Insights</w:t>
      </w:r>
    </w:p>
    <w:p w:rsidR="00500194" w:rsidRPr="00500194" w:rsidRDefault="00500194" w:rsidP="005001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Churn rate by contract type</w:t>
      </w:r>
    </w:p>
    <w:p w:rsidR="00500194" w:rsidRPr="00500194" w:rsidRDefault="00500194" w:rsidP="005001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Payment method analysis</w:t>
      </w:r>
    </w:p>
    <w:p w:rsidR="00500194" w:rsidRPr="00500194" w:rsidRDefault="00500194" w:rsidP="005001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Paperless billing impact</w:t>
      </w:r>
    </w:p>
    <w:p w:rsidR="00500194" w:rsidRPr="00500194" w:rsidRDefault="00500194" w:rsidP="005001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Monthly and total charges comparison</w:t>
      </w:r>
    </w:p>
    <w:p w:rsidR="00500194" w:rsidRPr="00500194" w:rsidRDefault="00500194" w:rsidP="0050019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Tenure group vs contract analysis</w:t>
      </w:r>
    </w:p>
    <w:p w:rsidR="00500194" w:rsidRPr="00500194" w:rsidRDefault="00500194" w:rsidP="00500194">
      <w:pPr>
        <w:spacing w:before="100" w:beforeAutospacing="1" w:after="100" w:afterAutospacing="1" w:line="240" w:lineRule="auto"/>
        <w:outlineLvl w:val="2"/>
        <w:rPr>
          <w:rFonts w:ascii="Times New Roman" w:eastAsia="Times New Roman" w:hAnsi="Times New Roman" w:cs="Times New Roman"/>
          <w:b/>
          <w:bCs/>
          <w:sz w:val="27"/>
          <w:szCs w:val="27"/>
        </w:rPr>
      </w:pPr>
      <w:r w:rsidRPr="00500194">
        <w:rPr>
          <w:rFonts w:ascii="Times New Roman" w:eastAsia="Times New Roman" w:hAnsi="Times New Roman" w:cs="Times New Roman"/>
          <w:b/>
          <w:bCs/>
          <w:sz w:val="27"/>
          <w:szCs w:val="27"/>
        </w:rPr>
        <w:t>4. Churn Prediction &amp; Key Drivers</w:t>
      </w:r>
    </w:p>
    <w:p w:rsidR="00500194" w:rsidRPr="00500194" w:rsidRDefault="00500194" w:rsidP="005001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Churn risk score analysis</w:t>
      </w:r>
    </w:p>
    <w:p w:rsidR="00500194" w:rsidRPr="00500194" w:rsidRDefault="00500194" w:rsidP="005001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lastRenderedPageBreak/>
        <w:t>Revenue impact due to churn</w:t>
      </w:r>
    </w:p>
    <w:p w:rsidR="00500194" w:rsidRPr="00500194" w:rsidRDefault="00500194" w:rsidP="005001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 xml:space="preserve">Key churn </w:t>
      </w:r>
      <w:proofErr w:type="gramStart"/>
      <w:r w:rsidRPr="00500194">
        <w:rPr>
          <w:rFonts w:ascii="Times New Roman" w:eastAsia="Times New Roman" w:hAnsi="Times New Roman" w:cs="Times New Roman"/>
          <w:sz w:val="24"/>
          <w:szCs w:val="24"/>
        </w:rPr>
        <w:t>drivers</w:t>
      </w:r>
      <w:proofErr w:type="gramEnd"/>
      <w:r w:rsidRPr="00500194">
        <w:rPr>
          <w:rFonts w:ascii="Times New Roman" w:eastAsia="Times New Roman" w:hAnsi="Times New Roman" w:cs="Times New Roman"/>
          <w:sz w:val="24"/>
          <w:szCs w:val="24"/>
        </w:rPr>
        <w:t xml:space="preserve"> identification</w:t>
      </w:r>
    </w:p>
    <w:p w:rsidR="00500194" w:rsidRPr="00500194" w:rsidRDefault="00500194" w:rsidP="005001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Internet service and payment method influence</w:t>
      </w:r>
    </w:p>
    <w:p w:rsidR="00500194" w:rsidRPr="00500194" w:rsidRDefault="00500194" w:rsidP="0050019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Contract-based churn comparison</w:t>
      </w:r>
    </w:p>
    <w:p w:rsidR="00500194" w:rsidRPr="00500194" w:rsidRDefault="00500194" w:rsidP="00500194">
      <w:pPr>
        <w:spacing w:after="0"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pict>
          <v:rect id="_x0000_i1026" style="width:0;height:1.5pt" o:hralign="center" o:hrstd="t" o:hr="t" fillcolor="#a0a0a0" stroked="f"/>
        </w:pict>
      </w:r>
    </w:p>
    <w:p w:rsidR="00500194" w:rsidRPr="00500194" w:rsidRDefault="00500194" w:rsidP="00500194">
      <w:pPr>
        <w:spacing w:before="100" w:beforeAutospacing="1" w:after="100" w:afterAutospacing="1" w:line="240" w:lineRule="auto"/>
        <w:outlineLvl w:val="1"/>
        <w:rPr>
          <w:rFonts w:ascii="Times New Roman" w:eastAsia="Times New Roman" w:hAnsi="Times New Roman" w:cs="Times New Roman"/>
          <w:b/>
          <w:bCs/>
          <w:sz w:val="36"/>
          <w:szCs w:val="36"/>
        </w:rPr>
      </w:pPr>
      <w:r w:rsidRPr="00500194">
        <w:rPr>
          <w:rFonts w:ascii="Segoe UI Emoji" w:eastAsia="Times New Roman" w:hAnsi="Segoe UI Emoji" w:cs="Segoe UI Emoji"/>
          <w:b/>
          <w:bCs/>
          <w:sz w:val="36"/>
          <w:szCs w:val="36"/>
        </w:rPr>
        <w:t>📈</w:t>
      </w:r>
      <w:r w:rsidRPr="00500194">
        <w:rPr>
          <w:rFonts w:ascii="Times New Roman" w:eastAsia="Times New Roman" w:hAnsi="Times New Roman" w:cs="Times New Roman"/>
          <w:b/>
          <w:bCs/>
          <w:sz w:val="36"/>
          <w:szCs w:val="36"/>
        </w:rPr>
        <w:t xml:space="preserve"> Key Insights</w:t>
      </w:r>
    </w:p>
    <w:p w:rsidR="00500194" w:rsidRPr="00500194" w:rsidRDefault="00500194" w:rsidP="005001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 xml:space="preserve">Customers with </w:t>
      </w:r>
      <w:r w:rsidRPr="00500194">
        <w:rPr>
          <w:rFonts w:ascii="Times New Roman" w:eastAsia="Times New Roman" w:hAnsi="Times New Roman" w:cs="Times New Roman"/>
          <w:b/>
          <w:bCs/>
          <w:sz w:val="24"/>
          <w:szCs w:val="24"/>
        </w:rPr>
        <w:t>Month-to-Month contracts</w:t>
      </w:r>
      <w:r w:rsidRPr="00500194">
        <w:rPr>
          <w:rFonts w:ascii="Times New Roman" w:eastAsia="Times New Roman" w:hAnsi="Times New Roman" w:cs="Times New Roman"/>
          <w:sz w:val="24"/>
          <w:szCs w:val="24"/>
        </w:rPr>
        <w:t xml:space="preserve"> show higher churn rates.</w:t>
      </w:r>
    </w:p>
    <w:p w:rsidR="00500194" w:rsidRPr="00500194" w:rsidRDefault="00500194" w:rsidP="005001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b/>
          <w:bCs/>
          <w:sz w:val="24"/>
          <w:szCs w:val="24"/>
        </w:rPr>
        <w:t>Fiber Optic users</w:t>
      </w:r>
      <w:r w:rsidRPr="00500194">
        <w:rPr>
          <w:rFonts w:ascii="Times New Roman" w:eastAsia="Times New Roman" w:hAnsi="Times New Roman" w:cs="Times New Roman"/>
          <w:sz w:val="24"/>
          <w:szCs w:val="24"/>
        </w:rPr>
        <w:t xml:space="preserve"> have higher churn compared to DSL users.</w:t>
      </w:r>
    </w:p>
    <w:p w:rsidR="00500194" w:rsidRPr="00500194" w:rsidRDefault="00500194" w:rsidP="005001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 xml:space="preserve">Customers using </w:t>
      </w:r>
      <w:r w:rsidRPr="00500194">
        <w:rPr>
          <w:rFonts w:ascii="Times New Roman" w:eastAsia="Times New Roman" w:hAnsi="Times New Roman" w:cs="Times New Roman"/>
          <w:b/>
          <w:bCs/>
          <w:sz w:val="24"/>
          <w:szCs w:val="24"/>
        </w:rPr>
        <w:t>Electronic Check</w:t>
      </w:r>
      <w:r w:rsidRPr="00500194">
        <w:rPr>
          <w:rFonts w:ascii="Times New Roman" w:eastAsia="Times New Roman" w:hAnsi="Times New Roman" w:cs="Times New Roman"/>
          <w:sz w:val="24"/>
          <w:szCs w:val="24"/>
        </w:rPr>
        <w:t xml:space="preserve"> payment methods tend to churn more frequently.</w:t>
      </w:r>
    </w:p>
    <w:p w:rsidR="00500194" w:rsidRPr="00500194" w:rsidRDefault="00500194" w:rsidP="005001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 xml:space="preserve">Customers without </w:t>
      </w:r>
      <w:r w:rsidRPr="00500194">
        <w:rPr>
          <w:rFonts w:ascii="Times New Roman" w:eastAsia="Times New Roman" w:hAnsi="Times New Roman" w:cs="Times New Roman"/>
          <w:b/>
          <w:bCs/>
          <w:sz w:val="24"/>
          <w:szCs w:val="24"/>
        </w:rPr>
        <w:t>Tech Support</w:t>
      </w:r>
      <w:r w:rsidRPr="00500194">
        <w:rPr>
          <w:rFonts w:ascii="Times New Roman" w:eastAsia="Times New Roman" w:hAnsi="Times New Roman" w:cs="Times New Roman"/>
          <w:sz w:val="24"/>
          <w:szCs w:val="24"/>
        </w:rPr>
        <w:t xml:space="preserve"> services are more likely to churn.</w:t>
      </w:r>
    </w:p>
    <w:p w:rsidR="00500194" w:rsidRPr="00500194" w:rsidRDefault="00500194" w:rsidP="0050019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Longer tenure customers have better retention rates.</w:t>
      </w:r>
    </w:p>
    <w:p w:rsidR="00500194" w:rsidRPr="00500194" w:rsidRDefault="00500194" w:rsidP="00500194">
      <w:pPr>
        <w:spacing w:after="0"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pict>
          <v:rect id="_x0000_i1027" style="width:0;height:1.5pt" o:hralign="center" o:hrstd="t" o:hr="t" fillcolor="#a0a0a0" stroked="f"/>
        </w:pict>
      </w:r>
    </w:p>
    <w:p w:rsidR="00500194" w:rsidRPr="00500194" w:rsidRDefault="00500194" w:rsidP="00500194">
      <w:pPr>
        <w:spacing w:before="100" w:beforeAutospacing="1" w:after="100" w:afterAutospacing="1" w:line="240" w:lineRule="auto"/>
        <w:outlineLvl w:val="1"/>
        <w:rPr>
          <w:rFonts w:ascii="Times New Roman" w:eastAsia="Times New Roman" w:hAnsi="Times New Roman" w:cs="Times New Roman"/>
          <w:b/>
          <w:bCs/>
          <w:sz w:val="36"/>
          <w:szCs w:val="36"/>
        </w:rPr>
      </w:pPr>
      <w:r w:rsidRPr="00500194">
        <w:rPr>
          <w:rFonts w:ascii="Segoe UI Emoji" w:eastAsia="Times New Roman" w:hAnsi="Segoe UI Emoji" w:cs="Segoe UI Emoji"/>
          <w:b/>
          <w:bCs/>
          <w:sz w:val="36"/>
          <w:szCs w:val="36"/>
        </w:rPr>
        <w:t>🛠</w:t>
      </w:r>
      <w:r w:rsidRPr="00500194">
        <w:rPr>
          <w:rFonts w:ascii="Times New Roman" w:eastAsia="Times New Roman" w:hAnsi="Times New Roman" w:cs="Times New Roman"/>
          <w:b/>
          <w:bCs/>
          <w:sz w:val="36"/>
          <w:szCs w:val="36"/>
        </w:rPr>
        <w:t xml:space="preserve"> Tools &amp; Technologies</w:t>
      </w:r>
    </w:p>
    <w:p w:rsidR="00500194" w:rsidRPr="00500194" w:rsidRDefault="00500194" w:rsidP="005001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b/>
          <w:bCs/>
          <w:sz w:val="24"/>
          <w:szCs w:val="24"/>
        </w:rPr>
        <w:t>Power BI Desktop</w:t>
      </w:r>
    </w:p>
    <w:p w:rsidR="00500194" w:rsidRPr="00500194" w:rsidRDefault="00500194" w:rsidP="005001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b/>
          <w:bCs/>
          <w:sz w:val="24"/>
          <w:szCs w:val="24"/>
        </w:rPr>
        <w:t>DAX</w:t>
      </w:r>
    </w:p>
    <w:p w:rsidR="00500194" w:rsidRPr="00500194" w:rsidRDefault="00500194" w:rsidP="005001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b/>
          <w:bCs/>
          <w:sz w:val="24"/>
          <w:szCs w:val="24"/>
        </w:rPr>
        <w:t>Power Query</w:t>
      </w:r>
    </w:p>
    <w:p w:rsidR="00500194" w:rsidRPr="00500194" w:rsidRDefault="00500194" w:rsidP="005001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b/>
          <w:bCs/>
          <w:sz w:val="24"/>
          <w:szCs w:val="24"/>
        </w:rPr>
        <w:t>Data Visualization</w:t>
      </w:r>
    </w:p>
    <w:p w:rsidR="00500194" w:rsidRPr="00500194" w:rsidRDefault="00500194" w:rsidP="0050019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b/>
          <w:bCs/>
          <w:sz w:val="24"/>
          <w:szCs w:val="24"/>
        </w:rPr>
        <w:t>Data Cleaning &amp; Transformation</w:t>
      </w:r>
    </w:p>
    <w:p w:rsidR="00500194" w:rsidRPr="00500194" w:rsidRDefault="00500194" w:rsidP="00500194">
      <w:pPr>
        <w:spacing w:after="0"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pict>
          <v:rect id="_x0000_i1028" style="width:0;height:1.5pt" o:hralign="center" o:hrstd="t" o:hr="t" fillcolor="#a0a0a0" stroked="f"/>
        </w:pict>
      </w:r>
    </w:p>
    <w:p w:rsidR="00500194" w:rsidRPr="00500194" w:rsidRDefault="00500194" w:rsidP="00500194">
      <w:pPr>
        <w:spacing w:before="100" w:beforeAutospacing="1" w:after="100" w:afterAutospacing="1" w:line="240" w:lineRule="auto"/>
        <w:outlineLvl w:val="1"/>
        <w:rPr>
          <w:rFonts w:ascii="Times New Roman" w:eastAsia="Times New Roman" w:hAnsi="Times New Roman" w:cs="Times New Roman"/>
          <w:b/>
          <w:bCs/>
          <w:sz w:val="36"/>
          <w:szCs w:val="36"/>
        </w:rPr>
      </w:pPr>
      <w:r w:rsidRPr="00500194">
        <w:rPr>
          <w:rFonts w:ascii="Segoe UI Emoji" w:eastAsia="Times New Roman" w:hAnsi="Segoe UI Emoji" w:cs="Segoe UI Emoji"/>
          <w:b/>
          <w:bCs/>
          <w:sz w:val="36"/>
          <w:szCs w:val="36"/>
        </w:rPr>
        <w:t>📂</w:t>
      </w:r>
      <w:r w:rsidRPr="00500194">
        <w:rPr>
          <w:rFonts w:ascii="Times New Roman" w:eastAsia="Times New Roman" w:hAnsi="Times New Roman" w:cs="Times New Roman"/>
          <w:b/>
          <w:bCs/>
          <w:sz w:val="36"/>
          <w:szCs w:val="36"/>
        </w:rPr>
        <w:t xml:space="preserve"> Files Included</w:t>
      </w:r>
    </w:p>
    <w:p w:rsidR="00500194" w:rsidRPr="00500194" w:rsidRDefault="00500194" w:rsidP="00500194">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500194">
        <w:rPr>
          <w:rFonts w:ascii="Courier New" w:eastAsia="Times New Roman" w:hAnsi="Courier New" w:cs="Courier New"/>
          <w:sz w:val="20"/>
          <w:szCs w:val="20"/>
        </w:rPr>
        <w:t>Project.pbix</w:t>
      </w:r>
      <w:proofErr w:type="spellEnd"/>
      <w:r w:rsidRPr="00500194">
        <w:rPr>
          <w:rFonts w:ascii="Times New Roman" w:eastAsia="Times New Roman" w:hAnsi="Times New Roman" w:cs="Times New Roman"/>
          <w:sz w:val="24"/>
          <w:szCs w:val="24"/>
        </w:rPr>
        <w:t xml:space="preserve"> → Power BI Dashboard File</w:t>
      </w:r>
    </w:p>
    <w:p w:rsidR="00500194" w:rsidRPr="00500194" w:rsidRDefault="00500194" w:rsidP="0050019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0194">
        <w:rPr>
          <w:rFonts w:ascii="Courier New" w:eastAsia="Times New Roman" w:hAnsi="Courier New" w:cs="Courier New"/>
          <w:sz w:val="20"/>
          <w:szCs w:val="20"/>
        </w:rPr>
        <w:t>Customer Churn Analysis.pdf</w:t>
      </w:r>
      <w:r w:rsidRPr="00500194">
        <w:rPr>
          <w:rFonts w:ascii="Times New Roman" w:eastAsia="Times New Roman" w:hAnsi="Times New Roman" w:cs="Times New Roman"/>
          <w:sz w:val="24"/>
          <w:szCs w:val="24"/>
        </w:rPr>
        <w:t xml:space="preserve"> → Dashboard Report Preview</w:t>
      </w:r>
    </w:p>
    <w:p w:rsidR="00500194" w:rsidRPr="00500194" w:rsidRDefault="00500194" w:rsidP="00500194">
      <w:pPr>
        <w:spacing w:after="0"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pict>
          <v:rect id="_x0000_i1029" style="width:0;height:1.5pt" o:hralign="center" o:hrstd="t" o:hr="t" fillcolor="#a0a0a0" stroked="f"/>
        </w:pict>
      </w:r>
    </w:p>
    <w:p w:rsidR="00500194" w:rsidRPr="00500194" w:rsidRDefault="00500194" w:rsidP="00500194">
      <w:pPr>
        <w:spacing w:before="100" w:beforeAutospacing="1" w:after="100" w:afterAutospacing="1" w:line="240" w:lineRule="auto"/>
        <w:outlineLvl w:val="1"/>
        <w:rPr>
          <w:rFonts w:ascii="Times New Roman" w:eastAsia="Times New Roman" w:hAnsi="Times New Roman" w:cs="Times New Roman"/>
          <w:b/>
          <w:bCs/>
          <w:sz w:val="36"/>
          <w:szCs w:val="36"/>
        </w:rPr>
      </w:pPr>
      <w:r w:rsidRPr="00500194">
        <w:rPr>
          <w:rFonts w:ascii="Segoe UI Emoji" w:eastAsia="Times New Roman" w:hAnsi="Segoe UI Emoji" w:cs="Segoe UI Emoji"/>
          <w:b/>
          <w:bCs/>
          <w:sz w:val="36"/>
          <w:szCs w:val="36"/>
        </w:rPr>
        <w:t>🎯</w:t>
      </w:r>
      <w:r w:rsidRPr="00500194">
        <w:rPr>
          <w:rFonts w:ascii="Times New Roman" w:eastAsia="Times New Roman" w:hAnsi="Times New Roman" w:cs="Times New Roman"/>
          <w:b/>
          <w:bCs/>
          <w:sz w:val="36"/>
          <w:szCs w:val="36"/>
        </w:rPr>
        <w:t xml:space="preserve"> KPIs Used</w:t>
      </w:r>
    </w:p>
    <w:p w:rsidR="00500194" w:rsidRPr="00500194" w:rsidRDefault="00500194" w:rsidP="005001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Total Customers</w:t>
      </w:r>
    </w:p>
    <w:p w:rsidR="00500194" w:rsidRPr="00500194" w:rsidRDefault="00500194" w:rsidP="005001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Churned Customers</w:t>
      </w:r>
    </w:p>
    <w:p w:rsidR="00500194" w:rsidRPr="00500194" w:rsidRDefault="00500194" w:rsidP="005001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Churn Rate</w:t>
      </w:r>
    </w:p>
    <w:p w:rsidR="00500194" w:rsidRPr="00500194" w:rsidRDefault="00500194" w:rsidP="005001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Average Monthly Charges</w:t>
      </w:r>
    </w:p>
    <w:p w:rsidR="00500194" w:rsidRPr="00500194" w:rsidRDefault="00500194" w:rsidP="005001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Average Tenure</w:t>
      </w:r>
    </w:p>
    <w:p w:rsidR="00500194" w:rsidRPr="00500194" w:rsidRDefault="00500194" w:rsidP="0050019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Revenue Impact</w:t>
      </w:r>
    </w:p>
    <w:p w:rsidR="00500194" w:rsidRPr="00500194" w:rsidRDefault="00500194" w:rsidP="00500194">
      <w:pPr>
        <w:spacing w:after="0"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lastRenderedPageBreak/>
        <w:pict>
          <v:rect id="_x0000_i1030" style="width:0;height:1.5pt" o:hralign="center" o:hrstd="t" o:hr="t" fillcolor="#a0a0a0" stroked="f"/>
        </w:pict>
      </w:r>
    </w:p>
    <w:p w:rsidR="00500194" w:rsidRPr="00500194" w:rsidRDefault="00500194" w:rsidP="00500194">
      <w:pPr>
        <w:spacing w:before="100" w:beforeAutospacing="1" w:after="100" w:afterAutospacing="1" w:line="240" w:lineRule="auto"/>
        <w:outlineLvl w:val="1"/>
        <w:rPr>
          <w:rFonts w:ascii="Times New Roman" w:eastAsia="Times New Roman" w:hAnsi="Times New Roman" w:cs="Times New Roman"/>
          <w:b/>
          <w:bCs/>
          <w:sz w:val="36"/>
          <w:szCs w:val="36"/>
        </w:rPr>
      </w:pPr>
      <w:r w:rsidRPr="00500194">
        <w:rPr>
          <w:rFonts w:ascii="Segoe UI Emoji" w:eastAsia="Times New Roman" w:hAnsi="Segoe UI Emoji" w:cs="Segoe UI Emoji"/>
          <w:b/>
          <w:bCs/>
          <w:sz w:val="36"/>
          <w:szCs w:val="36"/>
        </w:rPr>
        <w:t>🚀</w:t>
      </w:r>
      <w:r w:rsidRPr="00500194">
        <w:rPr>
          <w:rFonts w:ascii="Times New Roman" w:eastAsia="Times New Roman" w:hAnsi="Times New Roman" w:cs="Times New Roman"/>
          <w:b/>
          <w:bCs/>
          <w:sz w:val="36"/>
          <w:szCs w:val="36"/>
        </w:rPr>
        <w:t xml:space="preserve"> How to Use</w:t>
      </w:r>
    </w:p>
    <w:p w:rsidR="00500194" w:rsidRPr="00500194" w:rsidRDefault="00500194" w:rsidP="005001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 xml:space="preserve">Download the </w:t>
      </w:r>
      <w:r w:rsidRPr="00500194">
        <w:rPr>
          <w:rFonts w:ascii="Courier New" w:eastAsia="Times New Roman" w:hAnsi="Courier New" w:cs="Courier New"/>
          <w:sz w:val="20"/>
          <w:szCs w:val="20"/>
        </w:rPr>
        <w:t>.</w:t>
      </w:r>
      <w:proofErr w:type="spellStart"/>
      <w:r w:rsidRPr="00500194">
        <w:rPr>
          <w:rFonts w:ascii="Courier New" w:eastAsia="Times New Roman" w:hAnsi="Courier New" w:cs="Courier New"/>
          <w:sz w:val="20"/>
          <w:szCs w:val="20"/>
        </w:rPr>
        <w:t>pbix</w:t>
      </w:r>
      <w:proofErr w:type="spellEnd"/>
      <w:r w:rsidRPr="00500194">
        <w:rPr>
          <w:rFonts w:ascii="Times New Roman" w:eastAsia="Times New Roman" w:hAnsi="Times New Roman" w:cs="Times New Roman"/>
          <w:sz w:val="24"/>
          <w:szCs w:val="24"/>
        </w:rPr>
        <w:t xml:space="preserve"> file.</w:t>
      </w:r>
    </w:p>
    <w:p w:rsidR="00500194" w:rsidRPr="00500194" w:rsidRDefault="00500194" w:rsidP="005001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 xml:space="preserve">Open it using </w:t>
      </w:r>
      <w:r w:rsidRPr="00500194">
        <w:rPr>
          <w:rFonts w:ascii="Times New Roman" w:eastAsia="Times New Roman" w:hAnsi="Times New Roman" w:cs="Times New Roman"/>
          <w:b/>
          <w:bCs/>
          <w:sz w:val="24"/>
          <w:szCs w:val="24"/>
        </w:rPr>
        <w:t>Power BI Desktop</w:t>
      </w:r>
      <w:r w:rsidRPr="00500194">
        <w:rPr>
          <w:rFonts w:ascii="Times New Roman" w:eastAsia="Times New Roman" w:hAnsi="Times New Roman" w:cs="Times New Roman"/>
          <w:sz w:val="24"/>
          <w:szCs w:val="24"/>
        </w:rPr>
        <w:t>.</w:t>
      </w:r>
    </w:p>
    <w:p w:rsidR="00500194" w:rsidRPr="00500194" w:rsidRDefault="00500194" w:rsidP="005001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Explore the interactive dashboard using filters and slicers.</w:t>
      </w:r>
    </w:p>
    <w:p w:rsidR="00500194" w:rsidRPr="00500194" w:rsidRDefault="00500194" w:rsidP="0050019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Analyze churn patterns and customer behavior insights.</w:t>
      </w:r>
    </w:p>
    <w:p w:rsidR="00500194" w:rsidRPr="00500194" w:rsidRDefault="00500194" w:rsidP="00500194">
      <w:pPr>
        <w:spacing w:after="0"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pict>
          <v:rect id="_x0000_i1031" style="width:0;height:1.5pt" o:hralign="center" o:hrstd="t" o:hr="t" fillcolor="#a0a0a0" stroked="f"/>
        </w:pict>
      </w:r>
    </w:p>
    <w:p w:rsidR="00500194" w:rsidRPr="00500194" w:rsidRDefault="00500194" w:rsidP="00500194">
      <w:pPr>
        <w:spacing w:before="100" w:beforeAutospacing="1" w:after="100" w:afterAutospacing="1" w:line="240" w:lineRule="auto"/>
        <w:outlineLvl w:val="1"/>
        <w:rPr>
          <w:rFonts w:ascii="Times New Roman" w:eastAsia="Times New Roman" w:hAnsi="Times New Roman" w:cs="Times New Roman"/>
          <w:b/>
          <w:bCs/>
          <w:sz w:val="36"/>
          <w:szCs w:val="36"/>
        </w:rPr>
      </w:pPr>
      <w:r w:rsidRPr="00500194">
        <w:rPr>
          <w:rFonts w:ascii="Segoe UI Emoji" w:eastAsia="Times New Roman" w:hAnsi="Segoe UI Emoji" w:cs="Segoe UI Emoji"/>
          <w:b/>
          <w:bCs/>
          <w:sz w:val="36"/>
          <w:szCs w:val="36"/>
        </w:rPr>
        <w:t>📷</w:t>
      </w:r>
      <w:r w:rsidRPr="00500194">
        <w:rPr>
          <w:rFonts w:ascii="Times New Roman" w:eastAsia="Times New Roman" w:hAnsi="Times New Roman" w:cs="Times New Roman"/>
          <w:b/>
          <w:bCs/>
          <w:sz w:val="36"/>
          <w:szCs w:val="36"/>
        </w:rPr>
        <w:t xml:space="preserve"> Dashboard Preview</w:t>
      </w:r>
    </w:p>
    <w:p w:rsidR="00500194" w:rsidRPr="00500194" w:rsidRDefault="00500194" w:rsidP="00500194">
      <w:p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The dashboard contains:</w:t>
      </w:r>
    </w:p>
    <w:p w:rsidR="00500194" w:rsidRPr="00500194" w:rsidRDefault="00500194" w:rsidP="0050019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Interactive charts</w:t>
      </w:r>
    </w:p>
    <w:p w:rsidR="00500194" w:rsidRPr="00500194" w:rsidRDefault="00500194" w:rsidP="0050019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KPI cards</w:t>
      </w:r>
    </w:p>
    <w:p w:rsidR="00500194" w:rsidRPr="00500194" w:rsidRDefault="00500194" w:rsidP="0050019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Slicers &amp; filters</w:t>
      </w:r>
    </w:p>
    <w:p w:rsidR="00500194" w:rsidRPr="00500194" w:rsidRDefault="00500194" w:rsidP="0050019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Churn prediction visuals</w:t>
      </w:r>
    </w:p>
    <w:p w:rsidR="00500194" w:rsidRPr="00500194" w:rsidRDefault="00500194" w:rsidP="0050019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Revenue impact analysis</w:t>
      </w:r>
    </w:p>
    <w:p w:rsidR="00500194" w:rsidRPr="00500194" w:rsidRDefault="00500194" w:rsidP="00500194">
      <w:pPr>
        <w:spacing w:after="0"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pict>
          <v:rect id="_x0000_i1032" style="width:0;height:1.5pt" o:hralign="center" o:hrstd="t" o:hr="t" fillcolor="#a0a0a0" stroked="f"/>
        </w:pict>
      </w:r>
    </w:p>
    <w:p w:rsidR="00500194" w:rsidRPr="00500194" w:rsidRDefault="00500194" w:rsidP="00500194">
      <w:pPr>
        <w:spacing w:before="100" w:beforeAutospacing="1" w:after="100" w:afterAutospacing="1" w:line="240" w:lineRule="auto"/>
        <w:outlineLvl w:val="1"/>
        <w:rPr>
          <w:rFonts w:ascii="Times New Roman" w:eastAsia="Times New Roman" w:hAnsi="Times New Roman" w:cs="Times New Roman"/>
          <w:b/>
          <w:bCs/>
          <w:sz w:val="36"/>
          <w:szCs w:val="36"/>
        </w:rPr>
      </w:pPr>
      <w:r w:rsidRPr="00500194">
        <w:rPr>
          <w:rFonts w:ascii="Segoe UI Emoji" w:eastAsia="Times New Roman" w:hAnsi="Segoe UI Emoji" w:cs="Segoe UI Emoji"/>
          <w:b/>
          <w:bCs/>
          <w:sz w:val="36"/>
          <w:szCs w:val="36"/>
        </w:rPr>
        <w:t>📌</w:t>
      </w:r>
      <w:r w:rsidRPr="00500194">
        <w:rPr>
          <w:rFonts w:ascii="Times New Roman" w:eastAsia="Times New Roman" w:hAnsi="Times New Roman" w:cs="Times New Roman"/>
          <w:b/>
          <w:bCs/>
          <w:sz w:val="36"/>
          <w:szCs w:val="36"/>
        </w:rPr>
        <w:t xml:space="preserve"> Conclusion</w:t>
      </w:r>
    </w:p>
    <w:p w:rsidR="00500194" w:rsidRPr="00500194" w:rsidRDefault="00500194" w:rsidP="00500194">
      <w:pPr>
        <w:spacing w:before="100" w:beforeAutospacing="1" w:after="100" w:afterAutospacing="1"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t>This project demonstrates how Power BI can be used to transform raw telecom customer data into meaningful business insights. The dashboard helps stakeholders identify churn patterns, understand customer behavior, and make data-driven decisions to improve customer retention.</w:t>
      </w:r>
    </w:p>
    <w:p w:rsidR="00500194" w:rsidRPr="00500194" w:rsidRDefault="00500194" w:rsidP="00500194">
      <w:pPr>
        <w:spacing w:after="0" w:line="240" w:lineRule="auto"/>
        <w:rPr>
          <w:rFonts w:ascii="Times New Roman" w:eastAsia="Times New Roman" w:hAnsi="Times New Roman" w:cs="Times New Roman"/>
          <w:sz w:val="24"/>
          <w:szCs w:val="24"/>
        </w:rPr>
      </w:pPr>
      <w:r w:rsidRPr="00500194">
        <w:rPr>
          <w:rFonts w:ascii="Times New Roman" w:eastAsia="Times New Roman" w:hAnsi="Times New Roman" w:cs="Times New Roman"/>
          <w:sz w:val="24"/>
          <w:szCs w:val="24"/>
        </w:rPr>
        <w:pict>
          <v:rect id="_x0000_i1033" style="width:0;height:1.5pt" o:hralign="center" o:hrstd="t" o:hr="t" fillcolor="#a0a0a0" stroked="f"/>
        </w:pict>
      </w:r>
    </w:p>
    <w:p w:rsidR="00CE096F" w:rsidRDefault="00500194"/>
    <w:sectPr w:rsidR="00CE09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235235"/>
    <w:multiLevelType w:val="multilevel"/>
    <w:tmpl w:val="1B7E1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B26B2A"/>
    <w:multiLevelType w:val="multilevel"/>
    <w:tmpl w:val="F7C2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90D1F"/>
    <w:multiLevelType w:val="multilevel"/>
    <w:tmpl w:val="1DAE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81100"/>
    <w:multiLevelType w:val="multilevel"/>
    <w:tmpl w:val="D4EE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B51FC6"/>
    <w:multiLevelType w:val="multilevel"/>
    <w:tmpl w:val="3036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D90E4F"/>
    <w:multiLevelType w:val="multilevel"/>
    <w:tmpl w:val="5448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941CA"/>
    <w:multiLevelType w:val="multilevel"/>
    <w:tmpl w:val="3130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FF2D97"/>
    <w:multiLevelType w:val="multilevel"/>
    <w:tmpl w:val="66FC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3E6B00"/>
    <w:multiLevelType w:val="multilevel"/>
    <w:tmpl w:val="7574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874A8F"/>
    <w:multiLevelType w:val="multilevel"/>
    <w:tmpl w:val="3160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1"/>
  </w:num>
  <w:num w:numId="4">
    <w:abstractNumId w:val="9"/>
  </w:num>
  <w:num w:numId="5">
    <w:abstractNumId w:val="5"/>
  </w:num>
  <w:num w:numId="6">
    <w:abstractNumId w:val="4"/>
  </w:num>
  <w:num w:numId="7">
    <w:abstractNumId w:val="3"/>
  </w:num>
  <w:num w:numId="8">
    <w:abstractNumId w:val="7"/>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194"/>
    <w:rsid w:val="00500194"/>
    <w:rsid w:val="00AD0604"/>
    <w:rsid w:val="00AD5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64662"/>
  <w15:chartTrackingRefBased/>
  <w15:docId w15:val="{9E1B663B-8386-42CF-9366-7CFC28FBA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0019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0019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001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19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0019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0019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001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00194"/>
    <w:rPr>
      <w:b/>
      <w:bCs/>
    </w:rPr>
  </w:style>
  <w:style w:type="character" w:styleId="HTMLCode">
    <w:name w:val="HTML Code"/>
    <w:basedOn w:val="DefaultParagraphFont"/>
    <w:uiPriority w:val="99"/>
    <w:semiHidden/>
    <w:unhideWhenUsed/>
    <w:rsid w:val="005001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2263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393</Words>
  <Characters>2244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2026-05-16T07:13:00Z</dcterms:created>
  <dcterms:modified xsi:type="dcterms:W3CDTF">2026-05-16T07:14:00Z</dcterms:modified>
</cp:coreProperties>
</file>