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56"/>
        </w:rPr>
        <w:t>NextXR Digital Twin Platform</w:t>
      </w:r>
    </w:p>
    <w:p>
      <w:pPr>
        <w:jc w:val="center"/>
      </w:pPr>
      <w:r>
        <w:rPr>
          <w:rFonts w:ascii="Calibri" w:hAnsi="Calibri"/>
          <w:b/>
          <w:color w:val="1B2A4A"/>
          <w:sz w:val="40"/>
        </w:rPr>
        <w:t>AWS Architecture Document</w:t>
      </w:r>
    </w:p>
    <w:p>
      <w:pPr>
        <w:jc w:val="center"/>
      </w:pPr>
      <w:r>
        <w:rPr>
          <w:rFonts w:ascii="Calibri" w:hAnsi="Calibri"/>
          <w:b w:val="0"/>
          <w:color w:val="666666"/>
          <w:sz w:val="24"/>
        </w:rPr>
        <w:t>Version 1.0  |  July 2026  |  GoalCert Engineering</w:t>
      </w:r>
    </w:p>
    <w:p>
      <w:r>
        <w:br w:type="page"/>
      </w:r>
    </w:p>
    <w:p>
      <w:pPr>
        <w:pStyle w:val="Heading1"/>
      </w:pPr>
      <w:r>
        <w:rPr>
          <w:rFonts w:ascii="Calibri" w:hAnsi="Calibri"/>
          <w:color w:val="1B2A4A"/>
        </w:rPr>
        <w:t>1. Introduction</w:t>
      </w:r>
    </w:p>
    <w:p>
      <w:pPr>
        <w:spacing w:after="120"/>
      </w:pPr>
      <w:r>
        <w:rPr>
          <w:rFonts w:ascii="Calibri" w:hAnsi="Calibri"/>
          <w:b w:val="0"/>
          <w:color w:val="333333"/>
          <w:sz w:val="22"/>
        </w:rPr>
        <w:t>This document defines the AWS cloud architecture for the NextXR Digital Twin Platform. NextXR is an ontology-driven industrial digital-twin platform built on FastAPI that lets organisations stand up live, semantically-governed twins of facilities and machines, drive them from real field telemetry, reason about their condition, and act on them through an embedded AI copilot.</w:t>
      </w:r>
    </w:p>
    <w:p>
      <w:pPr>
        <w:spacing w:after="120"/>
      </w:pPr>
      <w:r>
        <w:rPr>
          <w:rFonts w:ascii="Calibri" w:hAnsi="Calibri"/>
          <w:b w:val="0"/>
          <w:color w:val="333333"/>
          <w:sz w:val="22"/>
        </w:rPr>
        <w:t>The system is a single-container monolith: one FastAPI process serves 136 REST endpoints across 12 routers and the built React UI, with the GPU reconstruction step offloaded to an external RunPod endpoint. The image is deliberately Fargate-ready — non-root, $PORT-driven, healthchecked, and serving its own frontend, so a first deploy needs no S3 or CloudFront for static hosting.</w:t>
      </w:r>
    </w:p>
    <w:p>
      <w:pPr>
        <w:spacing w:after="120"/>
      </w:pPr>
      <w:r>
        <w:rPr>
          <w:rFonts w:ascii="Calibri" w:hAnsi="Calibri"/>
          <w:b w:val="0"/>
          <w:color w:val="333333"/>
          <w:sz w:val="22"/>
        </w:rPr>
        <w:t>Section numbers in the deployment runbook (R6, AWS_DEPLOYMENT.md) are stable and referenced by the Dockerfile, .env.example and the auth notes; this document mirrors that structure.</w:t>
      </w:r>
    </w:p>
    <w:p>
      <w:pPr>
        <w:pStyle w:val="Heading1"/>
      </w:pPr>
      <w:r>
        <w:rPr>
          <w:rFonts w:ascii="Calibri" w:hAnsi="Calibri"/>
          <w:color w:val="1B2A4A"/>
        </w:rPr>
        <w:t>2. Architecture Overview</w:t>
      </w:r>
    </w:p>
    <w:p>
      <w:pPr>
        <w:spacing w:after="120"/>
      </w:pPr>
      <w:r>
        <w:rPr>
          <w:rFonts w:ascii="Calibri" w:hAnsi="Calibri"/>
          <w:b w:val="0"/>
          <w:color w:val="333333"/>
          <w:sz w:val="22"/>
        </w:rPr>
        <w:t>Route 53 fronts an optional CloudFront distribution and an Application Load Balancer, which targets an ECS Fargate service running N copies of the nextxr-twin container on port 8080. The task is stateless; all durable state lives in four shared stores.</w:t>
      </w:r>
    </w:p>
    <w:p>
      <w:pPr>
        <w:pStyle w:val="Heading2"/>
      </w:pPr>
      <w:r>
        <w:rPr>
          <w:rFonts w:ascii="Calibri" w:hAnsi="Calibri"/>
          <w:color w:val="1B2A4A"/>
        </w:rPr>
        <w:t>2.1 Infrastructure Architecture</w:t>
      </w:r>
    </w:p>
    <w:p>
      <w:pPr>
        <w:jc w:val="center"/>
      </w:pPr>
      <w:r>
        <w:drawing>
          <wp:inline xmlns:a="http://schemas.openxmlformats.org/drawingml/2006/main" xmlns:pic="http://schemas.openxmlformats.org/drawingml/2006/picture">
            <wp:extent cx="5943600" cy="3863340"/>
            <wp:docPr id="1" name="Picture 1"/>
            <wp:cNvGraphicFramePr>
              <a:graphicFrameLocks noChangeAspect="1"/>
            </wp:cNvGraphicFramePr>
            <a:graphic>
              <a:graphicData uri="http://schemas.openxmlformats.org/drawingml/2006/picture">
                <pic:pic>
                  <pic:nvPicPr>
                    <pic:cNvPr id="0" name="01_infrastructure.png"/>
                    <pic:cNvPicPr/>
                  </pic:nvPicPr>
                  <pic:blipFill>
                    <a:blip r:embed="rId9"/>
                    <a:stretch>
                      <a:fillRect/>
                    </a:stretch>
                  </pic:blipFill>
                  <pic:spPr>
                    <a:xfrm>
                      <a:off x="0" y="0"/>
                      <a:ext cx="5943600" cy="3863340"/>
                    </a:xfrm>
                    <a:prstGeom prst="rect"/>
                  </pic:spPr>
                </pic:pic>
              </a:graphicData>
            </a:graphic>
          </wp:inline>
        </w:drawing>
      </w:r>
    </w:p>
    <w:p>
      <w:pPr>
        <w:jc w:val="center"/>
      </w:pPr>
      <w:r>
        <w:rPr>
          <w:rFonts w:ascii="Calibri" w:hAnsi="Calibri"/>
          <w:i/>
          <w:color w:val="666666"/>
          <w:sz w:val="18"/>
        </w:rPr>
        <w:t>Figure 1: NextXR AWS Infrastructure Architecture</w:t>
      </w:r>
    </w:p>
    <w:p/>
    <w:p>
      <w:pPr>
        <w:pStyle w:val="Heading2"/>
      </w:pPr>
      <w:r>
        <w:rPr>
          <w:rFonts w:ascii="Calibri" w:hAnsi="Calibri"/>
          <w:color w:val="1B2A4A"/>
        </w:rPr>
        <w:t>2.2 Core Components</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Component</w:t>
            </w:r>
          </w:p>
        </w:tc>
        <w:tc>
          <w:tcPr>
            <w:tcW w:type="dxa" w:w="7370"/>
            <w:shd w:fill="1B2A4A" w:val="clear"/>
          </w:tcPr>
          <w:p>
            <w:r>
              <w:rPr>
                <w:rFonts w:ascii="Calibri" w:hAnsi="Calibri"/>
                <w:b/>
                <w:color w:val="FFFFFF"/>
                <w:sz w:val="20"/>
              </w:rPr>
              <w:t>Description</w:t>
            </w:r>
          </w:p>
        </w:tc>
      </w:tr>
      <w:tr>
        <w:tc>
          <w:tcPr>
            <w:tcW w:type="dxa" w:w="2268"/>
            <w:shd w:fill="F2F6FA" w:val="clear"/>
          </w:tcPr>
          <w:p>
            <w:r>
              <w:rPr>
                <w:rFonts w:ascii="Calibri" w:hAnsi="Calibri"/>
                <w:b w:val="0"/>
                <w:color w:val="333333"/>
                <w:sz w:val="18"/>
              </w:rPr>
              <w:t>ECS Fargate</w:t>
            </w:r>
          </w:p>
        </w:tc>
        <w:tc>
          <w:tcPr>
            <w:tcW w:type="dxa" w:w="7370"/>
            <w:shd w:fill="F2F6FA" w:val="clear"/>
          </w:tcPr>
          <w:p>
            <w:r>
              <w:rPr>
                <w:rFonts w:ascii="Calibri" w:hAnsi="Calibri"/>
                <w:b w:val="0"/>
                <w:color w:val="333333"/>
                <w:sz w:val="18"/>
              </w:rPr>
              <w:t>The nextxr-twin container: 136 API endpoints, the React UI, the 1 Hz machine-twin runtime, the connector supervisor and the embedded copilot. Desired count 2+.</w:t>
            </w:r>
          </w:p>
        </w:tc>
      </w:tr>
      <w:tr>
        <w:tc>
          <w:tcPr>
            <w:tcW w:type="dxa" w:w="2268"/>
          </w:tcPr>
          <w:p>
            <w:r>
              <w:rPr>
                <w:rFonts w:ascii="Calibri" w:hAnsi="Calibri"/>
                <w:b w:val="0"/>
                <w:color w:val="333333"/>
                <w:sz w:val="18"/>
              </w:rPr>
              <w:t>RDS PostgreSQL 16</w:t>
            </w:r>
          </w:p>
        </w:tc>
        <w:tc>
          <w:tcPr>
            <w:tcW w:type="dxa" w:w="7370"/>
          </w:tcPr>
          <w:p>
            <w:r>
              <w:rPr>
                <w:rFonts w:ascii="Calibri" w:hAnsi="Calibri"/>
                <w:b w:val="0"/>
                <w:color w:val="333333"/>
                <w:sz w:val="18"/>
              </w:rPr>
              <w:t>Records and the telemetry historian: 8 platform tables plus the measurements hypertable and its three rollups. Multi-AZ; db.t4g.medium + gp3 is ample.</w:t>
            </w:r>
          </w:p>
        </w:tc>
      </w:tr>
      <w:tr>
        <w:tc>
          <w:tcPr>
            <w:tcW w:type="dxa" w:w="2268"/>
            <w:shd w:fill="F2F6FA" w:val="clear"/>
          </w:tcPr>
          <w:p>
            <w:r>
              <w:rPr>
                <w:rFonts w:ascii="Calibri" w:hAnsi="Calibri"/>
                <w:b w:val="0"/>
                <w:color w:val="333333"/>
                <w:sz w:val="18"/>
              </w:rPr>
              <w:t>ElastiCache Redis 7</w:t>
            </w:r>
          </w:p>
        </w:tc>
        <w:tc>
          <w:tcPr>
            <w:tcW w:type="dxa" w:w="7370"/>
            <w:shd w:fill="F2F6FA" w:val="clear"/>
          </w:tcPr>
          <w:p>
            <w:r>
              <w:rPr>
                <w:rFonts w:ascii="Calibri" w:hAnsi="Calibri"/>
                <w:b w:val="0"/>
                <w:color w:val="333333"/>
                <w:sz w:val="18"/>
              </w:rPr>
              <w:t>The live event bus (one stream per tenant), twin ownership leases and per-tenant command queues.</w:t>
            </w:r>
          </w:p>
        </w:tc>
      </w:tr>
      <w:tr>
        <w:tc>
          <w:tcPr>
            <w:tcW w:type="dxa" w:w="2268"/>
          </w:tcPr>
          <w:p>
            <w:r>
              <w:rPr>
                <w:rFonts w:ascii="Calibri" w:hAnsi="Calibri"/>
                <w:b w:val="0"/>
                <w:color w:val="333333"/>
                <w:sz w:val="18"/>
              </w:rPr>
              <w:t>S3</w:t>
            </w:r>
          </w:p>
        </w:tc>
        <w:tc>
          <w:tcPr>
            <w:tcW w:type="dxa" w:w="7370"/>
          </w:tcPr>
          <w:p>
            <w:r>
              <w:rPr>
                <w:rFonts w:ascii="Calibri" w:hAnsi="Calibri"/>
                <w:b w:val="0"/>
                <w:color w:val="333333"/>
                <w:sz w:val="18"/>
              </w:rPr>
              <w:t>Blobs: generated GLBs and 3-D job artifacts, addressed by key so any task serves any model.</w:t>
            </w:r>
          </w:p>
        </w:tc>
      </w:tr>
      <w:tr>
        <w:tc>
          <w:tcPr>
            <w:tcW w:type="dxa" w:w="2268"/>
            <w:shd w:fill="F2F6FA" w:val="clear"/>
          </w:tcPr>
          <w:p>
            <w:r>
              <w:rPr>
                <w:rFonts w:ascii="Calibri" w:hAnsi="Calibri"/>
                <w:b w:val="0"/>
                <w:color w:val="333333"/>
                <w:sz w:val="18"/>
              </w:rPr>
              <w:t>Neo4j Aura</w:t>
            </w:r>
          </w:p>
        </w:tc>
        <w:tc>
          <w:tcPr>
            <w:tcW w:type="dxa" w:w="7370"/>
            <w:shd w:fill="F2F6FA" w:val="clear"/>
          </w:tcPr>
          <w:p>
            <w:r>
              <w:rPr>
                <w:rFonts w:ascii="Calibri" w:hAnsi="Calibri"/>
                <w:b w:val="0"/>
                <w:color w:val="333333"/>
                <w:sz w:val="18"/>
              </w:rPr>
              <w:t>The twin's graph: entities, relationships and findings. Managed outside AWS (or self-hosted on EC2 with an EBS volume).</w:t>
            </w:r>
          </w:p>
        </w:tc>
      </w:tr>
      <w:tr>
        <w:tc>
          <w:tcPr>
            <w:tcW w:type="dxa" w:w="2268"/>
          </w:tcPr>
          <w:p>
            <w:r>
              <w:rPr>
                <w:rFonts w:ascii="Calibri" w:hAnsi="Calibri"/>
                <w:b w:val="0"/>
                <w:color w:val="333333"/>
                <w:sz w:val="18"/>
              </w:rPr>
              <w:t>ALB</w:t>
            </w:r>
          </w:p>
        </w:tc>
        <w:tc>
          <w:tcPr>
            <w:tcW w:type="dxa" w:w="7370"/>
          </w:tcPr>
          <w:p>
            <w:r>
              <w:rPr>
                <w:rFonts w:ascii="Calibri" w:hAnsi="Calibri"/>
                <w:b w:val="0"/>
                <w:color w:val="333333"/>
                <w:sz w:val="18"/>
              </w:rPr>
              <w:t>HTTPS termination and health checks on GET /api/v1/health. Idle timeout raised for SSE.</w:t>
            </w:r>
          </w:p>
        </w:tc>
      </w:tr>
      <w:tr>
        <w:tc>
          <w:tcPr>
            <w:tcW w:type="dxa" w:w="2268"/>
            <w:shd w:fill="F2F6FA" w:val="clear"/>
          </w:tcPr>
          <w:p>
            <w:r>
              <w:rPr>
                <w:rFonts w:ascii="Calibri" w:hAnsi="Calibri"/>
                <w:b w:val="0"/>
                <w:color w:val="333333"/>
                <w:sz w:val="18"/>
              </w:rPr>
              <w:t>RDS Proxy</w:t>
            </w:r>
          </w:p>
        </w:tc>
        <w:tc>
          <w:tcPr>
            <w:tcW w:type="dxa" w:w="7370"/>
            <w:shd w:fill="F2F6FA" w:val="clear"/>
          </w:tcPr>
          <w:p>
            <w:r>
              <w:rPr>
                <w:rFonts w:ascii="Calibri" w:hAnsi="Calibri"/>
                <w:b w:val="0"/>
                <w:color w:val="333333"/>
                <w:sz w:val="18"/>
              </w:rPr>
              <w:t>Optional but recommended: multiplexes the fleet's connections, survives failover without the fleet reconnecting in lockstep, and can hold IAM credentials.</w:t>
            </w:r>
          </w:p>
        </w:tc>
      </w:tr>
      <w:tr>
        <w:tc>
          <w:tcPr>
            <w:tcW w:type="dxa" w:w="2268"/>
          </w:tcPr>
          <w:p>
            <w:r>
              <w:rPr>
                <w:rFonts w:ascii="Calibri" w:hAnsi="Calibri"/>
                <w:b w:val="0"/>
                <w:color w:val="333333"/>
                <w:sz w:val="18"/>
              </w:rPr>
              <w:t>CloudWatch</w:t>
            </w:r>
          </w:p>
        </w:tc>
        <w:tc>
          <w:tcPr>
            <w:tcW w:type="dxa" w:w="7370"/>
          </w:tcPr>
          <w:p>
            <w:r>
              <w:rPr>
                <w:rFonts w:ascii="Calibri" w:hAnsi="Calibri"/>
                <w:b w:val="0"/>
                <w:color w:val="333333"/>
                <w:sz w:val="18"/>
              </w:rPr>
              <w:t>Container logs (the four posture lines reach stdout) and alarms on the health payload's degraded status.</w:t>
            </w:r>
          </w:p>
        </w:tc>
      </w:tr>
      <w:tr>
        <w:tc>
          <w:tcPr>
            <w:tcW w:type="dxa" w:w="2268"/>
            <w:shd w:fill="F2F6FA" w:val="clear"/>
          </w:tcPr>
          <w:p>
            <w:r>
              <w:rPr>
                <w:rFonts w:ascii="Calibri" w:hAnsi="Calibri"/>
                <w:b w:val="0"/>
                <w:color w:val="333333"/>
                <w:sz w:val="18"/>
              </w:rPr>
              <w:t>RunPod (external)</w:t>
            </w:r>
          </w:p>
        </w:tc>
        <w:tc>
          <w:tcPr>
            <w:tcW w:type="dxa" w:w="7370"/>
            <w:shd w:fill="F2F6FA" w:val="clear"/>
          </w:tcPr>
          <w:p>
            <w:r>
              <w:rPr>
                <w:rFonts w:ascii="Calibri" w:hAnsi="Calibri"/>
                <w:b w:val="0"/>
                <w:color w:val="333333"/>
                <w:sz w:val="18"/>
              </w:rPr>
              <w:t>Serverless GPU running TRELLIS for photo-to-3-D reconstruction. Deliberately off AWS — ECS-GPU / g5 instances are expensive for a bursty workload.</w:t>
            </w:r>
          </w:p>
        </w:tc>
      </w:tr>
    </w:tbl>
    <w:p/>
    <w:p>
      <w:pPr>
        <w:pStyle w:val="Heading2"/>
      </w:pPr>
      <w:r>
        <w:rPr>
          <w:rFonts w:ascii="Calibri" w:hAnsi="Calibri"/>
          <w:color w:val="1B2A4A"/>
        </w:rPr>
        <w:t>2.3 Component Architecture</w:t>
      </w:r>
    </w:p>
    <w:p>
      <w:pPr>
        <w:jc w:val="center"/>
      </w:pPr>
      <w:r>
        <w:drawing>
          <wp:inline xmlns:a="http://schemas.openxmlformats.org/drawingml/2006/main" xmlns:pic="http://schemas.openxmlformats.org/drawingml/2006/picture">
            <wp:extent cx="5943600" cy="3689985"/>
            <wp:docPr id="2" name="Picture 2"/>
            <wp:cNvGraphicFramePr>
              <a:graphicFrameLocks noChangeAspect="1"/>
            </wp:cNvGraphicFramePr>
            <a:graphic>
              <a:graphicData uri="http://schemas.openxmlformats.org/drawingml/2006/picture">
                <pic:pic>
                  <pic:nvPicPr>
                    <pic:cNvPr id="0" name="02_component.png"/>
                    <pic:cNvPicPr/>
                  </pic:nvPicPr>
                  <pic:blipFill>
                    <a:blip r:embed="rId10"/>
                    <a:stretch>
                      <a:fillRect/>
                    </a:stretch>
                  </pic:blipFill>
                  <pic:spPr>
                    <a:xfrm>
                      <a:off x="0" y="0"/>
                      <a:ext cx="5943600" cy="3689985"/>
                    </a:xfrm>
                    <a:prstGeom prst="rect"/>
                  </pic:spPr>
                </pic:pic>
              </a:graphicData>
            </a:graphic>
          </wp:inline>
        </w:drawing>
      </w:r>
    </w:p>
    <w:p>
      <w:pPr>
        <w:jc w:val="center"/>
      </w:pPr>
      <w:r>
        <w:rPr>
          <w:rFonts w:ascii="Calibri" w:hAnsi="Calibri"/>
          <w:i/>
          <w:color w:val="666666"/>
          <w:sz w:val="18"/>
        </w:rPr>
        <w:t>Figure 2: NextXR Component Architecture</w:t>
      </w:r>
    </w:p>
    <w:p/>
    <w:p>
      <w:pPr>
        <w:pStyle w:val="Heading2"/>
      </w:pPr>
      <w:r>
        <w:rPr>
          <w:rFonts w:ascii="Calibri" w:hAnsi="Calibri"/>
          <w:color w:val="1B2A4A"/>
        </w:rPr>
        <w:t>2.4 Request Flow</w:t>
      </w:r>
    </w:p>
    <w:p>
      <w:pPr>
        <w:spacing w:after="120"/>
      </w:pPr>
      <w:r>
        <w:rPr>
          <w:rFonts w:ascii="Calibri" w:hAnsi="Calibri"/>
          <w:b w:val="0"/>
          <w:color w:val="333333"/>
          <w:sz w:val="22"/>
        </w:rPr>
        <w:t>Client → ALB (HTTPS/443) → ECS Fargate (:8080) → Neo4j / RDS / ElastiCache / S3. SSE connections (/api/v1/bus/stream) are long-lived HTTP streams held open by the ALB with an idle timeout of 300 seconds. Blob downloads bypass the API: GET /api/jobs/{id}/result returns a 302 to a presigned S3 URL, so a 20 MB GLB streams from S3 rather than occupying an API worker.</w:t>
      </w:r>
    </w:p>
    <w:p>
      <w:pPr>
        <w:pStyle w:val="Heading2"/>
      </w:pPr>
      <w:r>
        <w:rPr>
          <w:rFonts w:ascii="Calibri" w:hAnsi="Calibri"/>
          <w:color w:val="1B2A4A"/>
        </w:rPr>
        <w:t>2.5 Data Flow</w:t>
      </w:r>
    </w:p>
    <w:p>
      <w:pPr>
        <w:jc w:val="center"/>
      </w:pPr>
      <w:r>
        <w:drawing>
          <wp:inline xmlns:a="http://schemas.openxmlformats.org/drawingml/2006/main" xmlns:pic="http://schemas.openxmlformats.org/drawingml/2006/picture">
            <wp:extent cx="5943600" cy="2773680"/>
            <wp:docPr id="3" name="Picture 3"/>
            <wp:cNvGraphicFramePr>
              <a:graphicFrameLocks noChangeAspect="1"/>
            </wp:cNvGraphicFramePr>
            <a:graphic>
              <a:graphicData uri="http://schemas.openxmlformats.org/drawingml/2006/picture">
                <pic:pic>
                  <pic:nvPicPr>
                    <pic:cNvPr id="0" name="03_dataflow.png"/>
                    <pic:cNvPicPr/>
                  </pic:nvPicPr>
                  <pic:blipFill>
                    <a:blip r:embed="rId11"/>
                    <a:stretch>
                      <a:fillRect/>
                    </a:stretch>
                  </pic:blipFill>
                  <pic:spPr>
                    <a:xfrm>
                      <a:off x="0" y="0"/>
                      <a:ext cx="5943600" cy="2773680"/>
                    </a:xfrm>
                    <a:prstGeom prst="rect"/>
                  </pic:spPr>
                </pic:pic>
              </a:graphicData>
            </a:graphic>
          </wp:inline>
        </w:drawing>
      </w:r>
    </w:p>
    <w:p>
      <w:pPr>
        <w:jc w:val="center"/>
      </w:pPr>
      <w:r>
        <w:rPr>
          <w:rFonts w:ascii="Calibri" w:hAnsi="Calibri"/>
          <w:i/>
          <w:color w:val="666666"/>
          <w:sz w:val="18"/>
        </w:rPr>
        <w:t>Figure 3: NextXR Telemetry-to-Finding Data Flow</w:t>
      </w:r>
    </w:p>
    <w:p/>
    <w:p>
      <w:pPr>
        <w:pStyle w:val="Heading2"/>
      </w:pPr>
      <w:r>
        <w:rPr>
          <w:rFonts w:ascii="Calibri" w:hAnsi="Calibri"/>
          <w:color w:val="1B2A4A"/>
        </w:rPr>
        <w:t>2.6 Build and Image</w:t>
      </w:r>
    </w:p>
    <w:p>
      <w:pPr>
        <w:spacing w:after="120"/>
      </w:pPr>
      <w:r>
        <w:rPr>
          <w:rFonts w:ascii="Calibri" w:hAnsi="Calibri"/>
          <w:b w:val="0"/>
          <w:color w:val="333333"/>
          <w:sz w:val="22"/>
        </w:rPr>
        <w:t>docker build -t nextxr-twin . produces a multi-stage image:</w:t>
      </w:r>
    </w:p>
    <w:p>
      <w:pPr>
        <w:pStyle w:val="ListBullet"/>
        <w:spacing w:after="40"/>
      </w:pPr>
      <w:r>
        <w:rPr>
          <w:rFonts w:ascii="Calibri" w:hAnsi="Calibri"/>
          <w:b w:val="0"/>
          <w:color w:val="333333"/>
          <w:sz w:val="20"/>
        </w:rPr>
        <w:t>Stage 1 — node:20-slim builds frontend/dist (Vite, Module Federation remote).</w:t>
      </w:r>
    </w:p>
    <w:p>
      <w:pPr>
        <w:pStyle w:val="ListBullet"/>
        <w:spacing w:after="40"/>
      </w:pPr>
      <w:r>
        <w:rPr>
          <w:rFonts w:ascii="Calibri" w:hAnsi="Calibri"/>
          <w:b w:val="0"/>
          <w:color w:val="333333"/>
          <w:sz w:val="20"/>
        </w:rPr>
        <w:t>Stage 2 — python:3.12-slim installs requirements.txt, copies nextxr-ontology/ and the built dist, runs as non-root uid/gid 10001, exposes :8080 and healthchecks GET /api/v1/health.</w:t>
      </w:r>
    </w:p>
    <w:p>
      <w:pPr>
        <w:spacing w:after="120"/>
      </w:pPr>
      <w:r>
        <w:rPr>
          <w:rFonts w:ascii="Calibri" w:hAnsi="Calibri"/>
          <w:b w:val="0"/>
          <w:color w:val="333333"/>
          <w:sz w:val="22"/>
        </w:rPr>
        <w:t>The container serves the UI at /, so the first deploy needs no static hosting. Add CloudFront only when federating the UI into the GoalCert Hub — then VITE_REMOTE_BASE must be set at build time to the CloudFront origin, or hub-embedded assets 404.</w:t>
      </w:r>
    </w:p>
    <w:p>
      <w:pPr>
        <w:pStyle w:val="Heading1"/>
      </w:pPr>
      <w:r>
        <w:rPr>
          <w:rFonts w:ascii="Calibri" w:hAnsi="Calibri"/>
          <w:color w:val="1B2A4A"/>
        </w:rPr>
        <w:t>3. Network Architecture</w:t>
      </w:r>
    </w:p>
    <w:p>
      <w:pPr>
        <w:pStyle w:val="Heading2"/>
      </w:pPr>
      <w:r>
        <w:rPr>
          <w:rFonts w:ascii="Calibri" w:hAnsi="Calibri"/>
          <w:color w:val="1B2A4A"/>
        </w:rPr>
        <w:t>3.1 VPC Layout</w:t>
      </w:r>
    </w:p>
    <w:p>
      <w:pPr>
        <w:spacing w:after="120"/>
      </w:pPr>
      <w:r>
        <w:rPr>
          <w:rFonts w:ascii="Calibri" w:hAnsi="Calibri"/>
          <w:b w:val="0"/>
          <w:color w:val="333333"/>
          <w:sz w:val="22"/>
        </w:rPr>
        <w:t>Single VPC (10.0.0.0/16) across two availability zones:</w:t>
      </w:r>
    </w:p>
    <w:tbl>
      <w:tblPr>
        <w:tblW w:type="auto" w:w="0"/>
        <w:jc w:val="center"/>
        <w:tblLook w:firstColumn="1" w:firstRow="1" w:lastColumn="0" w:lastRow="0" w:noHBand="0" w:noVBand="1" w:val="04A0"/>
      </w:tblPr>
      <w:tblGrid>
        <w:gridCol w:w="2160"/>
        <w:gridCol w:w="2160"/>
        <w:gridCol w:w="2160"/>
        <w:gridCol w:w="2160"/>
      </w:tblGrid>
      <w:tr>
        <w:tc>
          <w:tcPr>
            <w:tcW w:type="dxa" w:w="1984"/>
            <w:shd w:fill="1B2A4A" w:val="clear"/>
          </w:tcPr>
          <w:p>
            <w:r>
              <w:rPr>
                <w:rFonts w:ascii="Calibri" w:hAnsi="Calibri"/>
                <w:b/>
                <w:color w:val="FFFFFF"/>
                <w:sz w:val="20"/>
              </w:rPr>
              <w:t>Subnet</w:t>
            </w:r>
          </w:p>
        </w:tc>
        <w:tc>
          <w:tcPr>
            <w:tcW w:type="dxa" w:w="1701"/>
            <w:shd w:fill="1B2A4A" w:val="clear"/>
          </w:tcPr>
          <w:p>
            <w:r>
              <w:rPr>
                <w:rFonts w:ascii="Calibri" w:hAnsi="Calibri"/>
                <w:b/>
                <w:color w:val="FFFFFF"/>
                <w:sz w:val="20"/>
              </w:rPr>
              <w:t>CIDR</w:t>
            </w:r>
          </w:p>
        </w:tc>
        <w:tc>
          <w:tcPr>
            <w:tcW w:type="dxa" w:w="1701"/>
            <w:shd w:fill="1B2A4A" w:val="clear"/>
          </w:tcPr>
          <w:p>
            <w:r>
              <w:rPr>
                <w:rFonts w:ascii="Calibri" w:hAnsi="Calibri"/>
                <w:b/>
                <w:color w:val="FFFFFF"/>
                <w:sz w:val="20"/>
              </w:rPr>
              <w:t>AZ</w:t>
            </w:r>
          </w:p>
        </w:tc>
        <w:tc>
          <w:tcPr>
            <w:tcW w:type="dxa" w:w="4252"/>
            <w:shd w:fill="1B2A4A" w:val="clear"/>
          </w:tcPr>
          <w:p>
            <w:r>
              <w:rPr>
                <w:rFonts w:ascii="Calibri" w:hAnsi="Calibri"/>
                <w:b/>
                <w:color w:val="FFFFFF"/>
                <w:sz w:val="20"/>
              </w:rPr>
              <w:t>Resources</w:t>
            </w:r>
          </w:p>
        </w:tc>
      </w:tr>
      <w:tr>
        <w:tc>
          <w:tcPr>
            <w:tcW w:type="dxa" w:w="1984"/>
            <w:shd w:fill="F2F6FA" w:val="clear"/>
          </w:tcPr>
          <w:p>
            <w:r>
              <w:rPr>
                <w:rFonts w:ascii="Calibri" w:hAnsi="Calibri"/>
                <w:b w:val="0"/>
                <w:color w:val="333333"/>
                <w:sz w:val="18"/>
              </w:rPr>
              <w:t>Public Subnet A</w:t>
            </w:r>
          </w:p>
        </w:tc>
        <w:tc>
          <w:tcPr>
            <w:tcW w:type="dxa" w:w="1701"/>
            <w:shd w:fill="F2F6FA" w:val="clear"/>
          </w:tcPr>
          <w:p>
            <w:r>
              <w:rPr>
                <w:rFonts w:ascii="Calibri" w:hAnsi="Calibri"/>
                <w:b w:val="0"/>
                <w:color w:val="333333"/>
                <w:sz w:val="18"/>
              </w:rPr>
              <w:t>10.0.1.0/24</w:t>
            </w:r>
          </w:p>
        </w:tc>
        <w:tc>
          <w:tcPr>
            <w:tcW w:type="dxa" w:w="1701"/>
            <w:shd w:fill="F2F6FA" w:val="clear"/>
          </w:tcPr>
          <w:p>
            <w:r>
              <w:rPr>
                <w:rFonts w:ascii="Calibri" w:hAnsi="Calibri"/>
                <w:b w:val="0"/>
                <w:color w:val="333333"/>
                <w:sz w:val="18"/>
              </w:rPr>
              <w:t>eu-west-1a</w:t>
            </w:r>
          </w:p>
        </w:tc>
        <w:tc>
          <w:tcPr>
            <w:tcW w:type="dxa" w:w="4252"/>
            <w:shd w:fill="F2F6FA" w:val="clear"/>
          </w:tcPr>
          <w:p>
            <w:r>
              <w:rPr>
                <w:rFonts w:ascii="Calibri" w:hAnsi="Calibri"/>
                <w:b w:val="0"/>
                <w:color w:val="333333"/>
                <w:sz w:val="18"/>
              </w:rPr>
              <w:t>ALB, NAT gateway</w:t>
            </w:r>
          </w:p>
        </w:tc>
      </w:tr>
      <w:tr>
        <w:tc>
          <w:tcPr>
            <w:tcW w:type="dxa" w:w="1984"/>
          </w:tcPr>
          <w:p>
            <w:r>
              <w:rPr>
                <w:rFonts w:ascii="Calibri" w:hAnsi="Calibri"/>
                <w:b w:val="0"/>
                <w:color w:val="333333"/>
                <w:sz w:val="18"/>
              </w:rPr>
              <w:t>Public Subnet B</w:t>
            </w:r>
          </w:p>
        </w:tc>
        <w:tc>
          <w:tcPr>
            <w:tcW w:type="dxa" w:w="1701"/>
          </w:tcPr>
          <w:p>
            <w:r>
              <w:rPr>
                <w:rFonts w:ascii="Calibri" w:hAnsi="Calibri"/>
                <w:b w:val="0"/>
                <w:color w:val="333333"/>
                <w:sz w:val="18"/>
              </w:rPr>
              <w:t>10.0.2.0/24</w:t>
            </w:r>
          </w:p>
        </w:tc>
        <w:tc>
          <w:tcPr>
            <w:tcW w:type="dxa" w:w="1701"/>
          </w:tcPr>
          <w:p>
            <w:r>
              <w:rPr>
                <w:rFonts w:ascii="Calibri" w:hAnsi="Calibri"/>
                <w:b w:val="0"/>
                <w:color w:val="333333"/>
                <w:sz w:val="18"/>
              </w:rPr>
              <w:t>eu-west-1b</w:t>
            </w:r>
          </w:p>
        </w:tc>
        <w:tc>
          <w:tcPr>
            <w:tcW w:type="dxa" w:w="4252"/>
          </w:tcPr>
          <w:p>
            <w:r>
              <w:rPr>
                <w:rFonts w:ascii="Calibri" w:hAnsi="Calibri"/>
                <w:b w:val="0"/>
                <w:color w:val="333333"/>
                <w:sz w:val="18"/>
              </w:rPr>
              <w:t>ALB (multi-AZ)</w:t>
            </w:r>
          </w:p>
        </w:tc>
      </w:tr>
      <w:tr>
        <w:tc>
          <w:tcPr>
            <w:tcW w:type="dxa" w:w="1984"/>
            <w:shd w:fill="F2F6FA" w:val="clear"/>
          </w:tcPr>
          <w:p>
            <w:r>
              <w:rPr>
                <w:rFonts w:ascii="Calibri" w:hAnsi="Calibri"/>
                <w:b w:val="0"/>
                <w:color w:val="333333"/>
                <w:sz w:val="18"/>
              </w:rPr>
              <w:t>Private Subnet A</w:t>
            </w:r>
          </w:p>
        </w:tc>
        <w:tc>
          <w:tcPr>
            <w:tcW w:type="dxa" w:w="1701"/>
            <w:shd w:fill="F2F6FA" w:val="clear"/>
          </w:tcPr>
          <w:p>
            <w:r>
              <w:rPr>
                <w:rFonts w:ascii="Calibri" w:hAnsi="Calibri"/>
                <w:b w:val="0"/>
                <w:color w:val="333333"/>
                <w:sz w:val="18"/>
              </w:rPr>
              <w:t>10.0.10.0/24</w:t>
            </w:r>
          </w:p>
        </w:tc>
        <w:tc>
          <w:tcPr>
            <w:tcW w:type="dxa" w:w="1701"/>
            <w:shd w:fill="F2F6FA" w:val="clear"/>
          </w:tcPr>
          <w:p>
            <w:r>
              <w:rPr>
                <w:rFonts w:ascii="Calibri" w:hAnsi="Calibri"/>
                <w:b w:val="0"/>
                <w:color w:val="333333"/>
                <w:sz w:val="18"/>
              </w:rPr>
              <w:t>eu-west-1a</w:t>
            </w:r>
          </w:p>
        </w:tc>
        <w:tc>
          <w:tcPr>
            <w:tcW w:type="dxa" w:w="4252"/>
            <w:shd w:fill="F2F6FA" w:val="clear"/>
          </w:tcPr>
          <w:p>
            <w:r>
              <w:rPr>
                <w:rFonts w:ascii="Calibri" w:hAnsi="Calibri"/>
                <w:b w:val="0"/>
                <w:color w:val="333333"/>
                <w:sz w:val="18"/>
              </w:rPr>
              <w:t>ECS Fargate tasks, RDS primary, RDS Proxy</w:t>
            </w:r>
          </w:p>
        </w:tc>
      </w:tr>
      <w:tr>
        <w:tc>
          <w:tcPr>
            <w:tcW w:type="dxa" w:w="1984"/>
          </w:tcPr>
          <w:p>
            <w:r>
              <w:rPr>
                <w:rFonts w:ascii="Calibri" w:hAnsi="Calibri"/>
                <w:b w:val="0"/>
                <w:color w:val="333333"/>
                <w:sz w:val="18"/>
              </w:rPr>
              <w:t>Private Subnet B</w:t>
            </w:r>
          </w:p>
        </w:tc>
        <w:tc>
          <w:tcPr>
            <w:tcW w:type="dxa" w:w="1701"/>
          </w:tcPr>
          <w:p>
            <w:r>
              <w:rPr>
                <w:rFonts w:ascii="Calibri" w:hAnsi="Calibri"/>
                <w:b w:val="0"/>
                <w:color w:val="333333"/>
                <w:sz w:val="18"/>
              </w:rPr>
              <w:t>10.0.20.0/24</w:t>
            </w:r>
          </w:p>
        </w:tc>
        <w:tc>
          <w:tcPr>
            <w:tcW w:type="dxa" w:w="1701"/>
          </w:tcPr>
          <w:p>
            <w:r>
              <w:rPr>
                <w:rFonts w:ascii="Calibri" w:hAnsi="Calibri"/>
                <w:b w:val="0"/>
                <w:color w:val="333333"/>
                <w:sz w:val="18"/>
              </w:rPr>
              <w:t>eu-west-1b</w:t>
            </w:r>
          </w:p>
        </w:tc>
        <w:tc>
          <w:tcPr>
            <w:tcW w:type="dxa" w:w="4252"/>
          </w:tcPr>
          <w:p>
            <w:r>
              <w:rPr>
                <w:rFonts w:ascii="Calibri" w:hAnsi="Calibri"/>
                <w:b w:val="0"/>
                <w:color w:val="333333"/>
                <w:sz w:val="18"/>
              </w:rPr>
              <w:t>ECS Fargate tasks, RDS standby, ElastiCache</w:t>
            </w:r>
          </w:p>
        </w:tc>
      </w:tr>
    </w:tbl>
    <w:p/>
    <w:p>
      <w:pPr>
        <w:spacing w:after="120"/>
      </w:pPr>
      <w:r>
        <w:rPr>
          <w:rFonts w:ascii="Calibri" w:hAnsi="Calibri"/>
          <w:b w:val="0"/>
          <w:color w:val="333333"/>
          <w:sz w:val="22"/>
        </w:rPr>
        <w:t>RDS (5432) and ElastiCache (6379) live in the private/isolated subnets and are never publicly addressable. Add an S3 gateway VPC endpoint so blob traffic skips the NAT gateway's per-GB charge — with GLB payloads this is a material saving, not a rounding error.</w:t>
      </w:r>
    </w:p>
    <w:p>
      <w:pPr>
        <w:pStyle w:val="Heading2"/>
      </w:pPr>
      <w:r>
        <w:rPr>
          <w:rFonts w:ascii="Calibri" w:hAnsi="Calibri"/>
          <w:color w:val="1B2A4A"/>
        </w:rPr>
        <w:t>3.2 Security Groups</w:t>
      </w:r>
    </w:p>
    <w:tbl>
      <w:tblPr>
        <w:tblW w:type="auto" w:w="0"/>
        <w:jc w:val="center"/>
        <w:tblLook w:firstColumn="1" w:firstRow="1" w:lastColumn="0" w:lastRow="0" w:noHBand="0" w:noVBand="1" w:val="04A0"/>
      </w:tblPr>
      <w:tblGrid>
        <w:gridCol w:w="2880"/>
        <w:gridCol w:w="2880"/>
        <w:gridCol w:w="2880"/>
      </w:tblGrid>
      <w:tr>
        <w:tc>
          <w:tcPr>
            <w:tcW w:type="dxa" w:w="1701"/>
            <w:shd w:fill="1B2A4A" w:val="clear"/>
          </w:tcPr>
          <w:p>
            <w:r>
              <w:rPr>
                <w:rFonts w:ascii="Calibri" w:hAnsi="Calibri"/>
                <w:b/>
                <w:color w:val="FFFFFF"/>
                <w:sz w:val="20"/>
              </w:rPr>
              <w:t>Security Group</w:t>
            </w:r>
          </w:p>
        </w:tc>
        <w:tc>
          <w:tcPr>
            <w:tcW w:type="dxa" w:w="1984"/>
            <w:shd w:fill="1B2A4A" w:val="clear"/>
          </w:tcPr>
          <w:p>
            <w:r>
              <w:rPr>
                <w:rFonts w:ascii="Calibri" w:hAnsi="Calibri"/>
                <w:b/>
                <w:color w:val="FFFFFF"/>
                <w:sz w:val="20"/>
              </w:rPr>
              <w:t>Attached To</w:t>
            </w:r>
          </w:p>
        </w:tc>
        <w:tc>
          <w:tcPr>
            <w:tcW w:type="dxa" w:w="5953"/>
            <w:shd w:fill="1B2A4A" w:val="clear"/>
          </w:tcPr>
          <w:p>
            <w:r>
              <w:rPr>
                <w:rFonts w:ascii="Calibri" w:hAnsi="Calibri"/>
                <w:b/>
                <w:color w:val="FFFFFF"/>
                <w:sz w:val="20"/>
              </w:rPr>
              <w:t>Rules</w:t>
            </w:r>
          </w:p>
        </w:tc>
      </w:tr>
      <w:tr>
        <w:tc>
          <w:tcPr>
            <w:tcW w:type="dxa" w:w="1701"/>
            <w:shd w:fill="F2F6FA" w:val="clear"/>
          </w:tcPr>
          <w:p>
            <w:r>
              <w:rPr>
                <w:rFonts w:ascii="Calibri" w:hAnsi="Calibri"/>
                <w:b w:val="0"/>
                <w:color w:val="333333"/>
                <w:sz w:val="18"/>
              </w:rPr>
              <w:t>sg-alb</w:t>
            </w:r>
          </w:p>
        </w:tc>
        <w:tc>
          <w:tcPr>
            <w:tcW w:type="dxa" w:w="1984"/>
            <w:shd w:fill="F2F6FA" w:val="clear"/>
          </w:tcPr>
          <w:p>
            <w:r>
              <w:rPr>
                <w:rFonts w:ascii="Calibri" w:hAnsi="Calibri"/>
                <w:b w:val="0"/>
                <w:color w:val="333333"/>
                <w:sz w:val="18"/>
              </w:rPr>
              <w:t>ALB</w:t>
            </w:r>
          </w:p>
        </w:tc>
        <w:tc>
          <w:tcPr>
            <w:tcW w:type="dxa" w:w="5953"/>
            <w:shd w:fill="F2F6FA" w:val="clear"/>
          </w:tcPr>
          <w:p>
            <w:r>
              <w:rPr>
                <w:rFonts w:ascii="Calibri" w:hAnsi="Calibri"/>
                <w:b w:val="0"/>
                <w:color w:val="333333"/>
                <w:sz w:val="18"/>
              </w:rPr>
              <w:t>Inbound: 443 from 0.0.0.0/0; Outbound: 8080 to sg-ecs</w:t>
            </w:r>
          </w:p>
        </w:tc>
      </w:tr>
      <w:tr>
        <w:tc>
          <w:tcPr>
            <w:tcW w:type="dxa" w:w="1701"/>
          </w:tcPr>
          <w:p>
            <w:r>
              <w:rPr>
                <w:rFonts w:ascii="Calibri" w:hAnsi="Calibri"/>
                <w:b w:val="0"/>
                <w:color w:val="333333"/>
                <w:sz w:val="18"/>
              </w:rPr>
              <w:t>sg-ecs</w:t>
            </w:r>
          </w:p>
        </w:tc>
        <w:tc>
          <w:tcPr>
            <w:tcW w:type="dxa" w:w="1984"/>
          </w:tcPr>
          <w:p>
            <w:r>
              <w:rPr>
                <w:rFonts w:ascii="Calibri" w:hAnsi="Calibri"/>
                <w:b w:val="0"/>
                <w:color w:val="333333"/>
                <w:sz w:val="18"/>
              </w:rPr>
              <w:t>ECS Fargate tasks</w:t>
            </w:r>
          </w:p>
        </w:tc>
        <w:tc>
          <w:tcPr>
            <w:tcW w:type="dxa" w:w="5953"/>
          </w:tcPr>
          <w:p>
            <w:r>
              <w:rPr>
                <w:rFonts w:ascii="Calibri" w:hAnsi="Calibri"/>
                <w:b w:val="0"/>
                <w:color w:val="333333"/>
                <w:sz w:val="18"/>
              </w:rPr>
              <w:t>Inbound: 8080 from sg-alb; Outbound: 5432 to sg-rds, 6379 to sg-redis, 443 to Neo4j Aura / Anthropic / RunPod, plus the field protocol ports a deployment actually polls</w:t>
            </w:r>
          </w:p>
        </w:tc>
      </w:tr>
      <w:tr>
        <w:tc>
          <w:tcPr>
            <w:tcW w:type="dxa" w:w="1701"/>
            <w:shd w:fill="F2F6FA" w:val="clear"/>
          </w:tcPr>
          <w:p>
            <w:r>
              <w:rPr>
                <w:rFonts w:ascii="Calibri" w:hAnsi="Calibri"/>
                <w:b w:val="0"/>
                <w:color w:val="333333"/>
                <w:sz w:val="18"/>
              </w:rPr>
              <w:t>sg-rds</w:t>
            </w:r>
          </w:p>
        </w:tc>
        <w:tc>
          <w:tcPr>
            <w:tcW w:type="dxa" w:w="1984"/>
            <w:shd w:fill="F2F6FA" w:val="clear"/>
          </w:tcPr>
          <w:p>
            <w:r>
              <w:rPr>
                <w:rFonts w:ascii="Calibri" w:hAnsi="Calibri"/>
                <w:b w:val="0"/>
                <w:color w:val="333333"/>
                <w:sz w:val="18"/>
              </w:rPr>
              <w:t>RDS PostgreSQL 16</w:t>
            </w:r>
          </w:p>
        </w:tc>
        <w:tc>
          <w:tcPr>
            <w:tcW w:type="dxa" w:w="5953"/>
            <w:shd w:fill="F2F6FA" w:val="clear"/>
          </w:tcPr>
          <w:p>
            <w:r>
              <w:rPr>
                <w:rFonts w:ascii="Calibri" w:hAnsi="Calibri"/>
                <w:b w:val="0"/>
                <w:color w:val="333333"/>
                <w:sz w:val="18"/>
              </w:rPr>
              <w:t>Inbound: 5432 from sg-ecs and sg-rdsproxy; Outbound: none</w:t>
            </w:r>
          </w:p>
        </w:tc>
      </w:tr>
      <w:tr>
        <w:tc>
          <w:tcPr>
            <w:tcW w:type="dxa" w:w="1701"/>
          </w:tcPr>
          <w:p>
            <w:r>
              <w:rPr>
                <w:rFonts w:ascii="Calibri" w:hAnsi="Calibri"/>
                <w:b w:val="0"/>
                <w:color w:val="333333"/>
                <w:sz w:val="18"/>
              </w:rPr>
              <w:t>sg-redis</w:t>
            </w:r>
          </w:p>
        </w:tc>
        <w:tc>
          <w:tcPr>
            <w:tcW w:type="dxa" w:w="1984"/>
          </w:tcPr>
          <w:p>
            <w:r>
              <w:rPr>
                <w:rFonts w:ascii="Calibri" w:hAnsi="Calibri"/>
                <w:b w:val="0"/>
                <w:color w:val="333333"/>
                <w:sz w:val="18"/>
              </w:rPr>
              <w:t>ElastiCache Redis 7</w:t>
            </w:r>
          </w:p>
        </w:tc>
        <w:tc>
          <w:tcPr>
            <w:tcW w:type="dxa" w:w="5953"/>
          </w:tcPr>
          <w:p>
            <w:r>
              <w:rPr>
                <w:rFonts w:ascii="Calibri" w:hAnsi="Calibri"/>
                <w:b w:val="0"/>
                <w:color w:val="333333"/>
                <w:sz w:val="18"/>
              </w:rPr>
              <w:t>Inbound: 6379 from sg-ecs; Outbound: none</w:t>
            </w:r>
          </w:p>
        </w:tc>
      </w:tr>
      <w:tr>
        <w:tc>
          <w:tcPr>
            <w:tcW w:type="dxa" w:w="1701"/>
            <w:shd w:fill="F2F6FA" w:val="clear"/>
          </w:tcPr>
          <w:p>
            <w:r>
              <w:rPr>
                <w:rFonts w:ascii="Calibri" w:hAnsi="Calibri"/>
                <w:b w:val="0"/>
                <w:color w:val="333333"/>
                <w:sz w:val="18"/>
              </w:rPr>
              <w:t>sg-rdsproxy</w:t>
            </w:r>
          </w:p>
        </w:tc>
        <w:tc>
          <w:tcPr>
            <w:tcW w:type="dxa" w:w="1984"/>
            <w:shd w:fill="F2F6FA" w:val="clear"/>
          </w:tcPr>
          <w:p>
            <w:r>
              <w:rPr>
                <w:rFonts w:ascii="Calibri" w:hAnsi="Calibri"/>
                <w:b w:val="0"/>
                <w:color w:val="333333"/>
                <w:sz w:val="18"/>
              </w:rPr>
              <w:t>RDS Proxy</w:t>
            </w:r>
          </w:p>
        </w:tc>
        <w:tc>
          <w:tcPr>
            <w:tcW w:type="dxa" w:w="5953"/>
            <w:shd w:fill="F2F6FA" w:val="clear"/>
          </w:tcPr>
          <w:p>
            <w:r>
              <w:rPr>
                <w:rFonts w:ascii="Calibri" w:hAnsi="Calibri"/>
                <w:b w:val="0"/>
                <w:color w:val="333333"/>
                <w:sz w:val="18"/>
              </w:rPr>
              <w:t>Inbound: 5432 from sg-ecs; Outbound: 5432 to sg-rds</w:t>
            </w:r>
          </w:p>
        </w:tc>
      </w:tr>
    </w:tbl>
    <w:p/>
    <w:p>
      <w:pPr>
        <w:pStyle w:val="Heading1"/>
      </w:pPr>
      <w:r>
        <w:rPr>
          <w:rFonts w:ascii="Calibri" w:hAnsi="Calibri"/>
          <w:color w:val="1B2A4A"/>
        </w:rPr>
        <w:t>4. Service Configuration</w:t>
      </w:r>
    </w:p>
    <w:p>
      <w:pPr>
        <w:pStyle w:val="Heading2"/>
      </w:pPr>
      <w:r>
        <w:rPr>
          <w:rFonts w:ascii="Calibri" w:hAnsi="Calibri"/>
          <w:color w:val="1B2A4A"/>
        </w:rPr>
        <w:t>4.1 ECS Task Definition</w:t>
      </w:r>
    </w:p>
    <w:tbl>
      <w:tblPr>
        <w:tblW w:type="auto" w:w="0"/>
        <w:jc w:val="center"/>
        <w:tblLook w:firstColumn="1" w:firstRow="1" w:lastColumn="0" w:lastRow="0" w:noHBand="0" w:noVBand="1" w:val="04A0"/>
      </w:tblPr>
      <w:tblGrid>
        <w:gridCol w:w="2880"/>
        <w:gridCol w:w="2880"/>
        <w:gridCol w:w="2880"/>
      </w:tblGrid>
      <w:tr>
        <w:tc>
          <w:tcPr>
            <w:tcW w:type="dxa" w:w="2268"/>
            <w:shd w:fill="1B2A4A" w:val="clear"/>
          </w:tcPr>
          <w:p>
            <w:r>
              <w:rPr>
                <w:rFonts w:ascii="Calibri" w:hAnsi="Calibri"/>
                <w:b/>
                <w:color w:val="FFFFFF"/>
                <w:sz w:val="20"/>
              </w:rPr>
              <w:t>Parameter</w:t>
            </w:r>
          </w:p>
        </w:tc>
        <w:tc>
          <w:tcPr>
            <w:tcW w:type="dxa" w:w="3402"/>
            <w:shd w:fill="1B2A4A" w:val="clear"/>
          </w:tcPr>
          <w:p>
            <w:r>
              <w:rPr>
                <w:rFonts w:ascii="Calibri" w:hAnsi="Calibri"/>
                <w:b/>
                <w:color w:val="FFFFFF"/>
                <w:sz w:val="20"/>
              </w:rPr>
              <w:t>Dev/Staging</w:t>
            </w:r>
          </w:p>
        </w:tc>
        <w:tc>
          <w:tcPr>
            <w:tcW w:type="dxa" w:w="3969"/>
            <w:shd w:fill="1B2A4A" w:val="clear"/>
          </w:tcPr>
          <w:p>
            <w:r>
              <w:rPr>
                <w:rFonts w:ascii="Calibri" w:hAnsi="Calibri"/>
                <w:b/>
                <w:color w:val="FFFFFF"/>
                <w:sz w:val="20"/>
              </w:rPr>
              <w:t>Production</w:t>
            </w:r>
          </w:p>
        </w:tc>
      </w:tr>
      <w:tr>
        <w:tc>
          <w:tcPr>
            <w:tcW w:type="dxa" w:w="2268"/>
            <w:shd w:fill="F2F6FA" w:val="clear"/>
          </w:tcPr>
          <w:p>
            <w:r>
              <w:rPr>
                <w:rFonts w:ascii="Calibri" w:hAnsi="Calibri"/>
                <w:b w:val="0"/>
                <w:color w:val="333333"/>
                <w:sz w:val="18"/>
              </w:rPr>
              <w:t>CPU</w:t>
            </w:r>
          </w:p>
        </w:tc>
        <w:tc>
          <w:tcPr>
            <w:tcW w:type="dxa" w:w="3402"/>
            <w:shd w:fill="F2F6FA" w:val="clear"/>
          </w:tcPr>
          <w:p>
            <w:r>
              <w:rPr>
                <w:rFonts w:ascii="Calibri" w:hAnsi="Calibri"/>
                <w:b w:val="0"/>
                <w:color w:val="333333"/>
                <w:sz w:val="18"/>
              </w:rPr>
              <w:t>512 (0.5 vCPU)</w:t>
            </w:r>
          </w:p>
        </w:tc>
        <w:tc>
          <w:tcPr>
            <w:tcW w:type="dxa" w:w="3969"/>
            <w:shd w:fill="F2F6FA" w:val="clear"/>
          </w:tcPr>
          <w:p>
            <w:r>
              <w:rPr>
                <w:rFonts w:ascii="Calibri" w:hAnsi="Calibri"/>
                <w:b w:val="0"/>
                <w:color w:val="333333"/>
                <w:sz w:val="18"/>
              </w:rPr>
              <w:t>1024 (1 vCPU)</w:t>
            </w:r>
          </w:p>
        </w:tc>
      </w:tr>
      <w:tr>
        <w:tc>
          <w:tcPr>
            <w:tcW w:type="dxa" w:w="2268"/>
          </w:tcPr>
          <w:p>
            <w:r>
              <w:rPr>
                <w:rFonts w:ascii="Calibri" w:hAnsi="Calibri"/>
                <w:b w:val="0"/>
                <w:color w:val="333333"/>
                <w:sz w:val="18"/>
              </w:rPr>
              <w:t>Memory</w:t>
            </w:r>
          </w:p>
        </w:tc>
        <w:tc>
          <w:tcPr>
            <w:tcW w:type="dxa" w:w="3402"/>
          </w:tcPr>
          <w:p>
            <w:r>
              <w:rPr>
                <w:rFonts w:ascii="Calibri" w:hAnsi="Calibri"/>
                <w:b w:val="0"/>
                <w:color w:val="333333"/>
                <w:sz w:val="18"/>
              </w:rPr>
              <w:t>1024 MB</w:t>
            </w:r>
          </w:p>
        </w:tc>
        <w:tc>
          <w:tcPr>
            <w:tcW w:type="dxa" w:w="3969"/>
          </w:tcPr>
          <w:p>
            <w:r>
              <w:rPr>
                <w:rFonts w:ascii="Calibri" w:hAnsi="Calibri"/>
                <w:b w:val="0"/>
                <w:color w:val="333333"/>
                <w:sz w:val="18"/>
              </w:rPr>
              <w:t>2048 MB</w:t>
            </w:r>
          </w:p>
        </w:tc>
      </w:tr>
      <w:tr>
        <w:tc>
          <w:tcPr>
            <w:tcW w:type="dxa" w:w="2268"/>
            <w:shd w:fill="F2F6FA" w:val="clear"/>
          </w:tcPr>
          <w:p>
            <w:r>
              <w:rPr>
                <w:rFonts w:ascii="Calibri" w:hAnsi="Calibri"/>
                <w:b w:val="0"/>
                <w:color w:val="333333"/>
                <w:sz w:val="18"/>
              </w:rPr>
              <w:t>Container Port</w:t>
            </w:r>
          </w:p>
        </w:tc>
        <w:tc>
          <w:tcPr>
            <w:tcW w:type="dxa" w:w="3402"/>
            <w:shd w:fill="F2F6FA" w:val="clear"/>
          </w:tcPr>
          <w:p>
            <w:r>
              <w:rPr>
                <w:rFonts w:ascii="Calibri" w:hAnsi="Calibri"/>
                <w:b w:val="0"/>
                <w:color w:val="333333"/>
                <w:sz w:val="18"/>
              </w:rPr>
              <w:t>8080</w:t>
            </w:r>
          </w:p>
        </w:tc>
        <w:tc>
          <w:tcPr>
            <w:tcW w:type="dxa" w:w="3969"/>
            <w:shd w:fill="F2F6FA" w:val="clear"/>
          </w:tcPr>
          <w:p>
            <w:r>
              <w:rPr>
                <w:rFonts w:ascii="Calibri" w:hAnsi="Calibri"/>
                <w:b w:val="0"/>
                <w:color w:val="333333"/>
                <w:sz w:val="18"/>
              </w:rPr>
              <w:t>8080</w:t>
            </w:r>
          </w:p>
        </w:tc>
      </w:tr>
      <w:tr>
        <w:tc>
          <w:tcPr>
            <w:tcW w:type="dxa" w:w="2268"/>
          </w:tcPr>
          <w:p>
            <w:r>
              <w:rPr>
                <w:rFonts w:ascii="Calibri" w:hAnsi="Calibri"/>
                <w:b w:val="0"/>
                <w:color w:val="333333"/>
                <w:sz w:val="18"/>
              </w:rPr>
              <w:t>Container User</w:t>
            </w:r>
          </w:p>
        </w:tc>
        <w:tc>
          <w:tcPr>
            <w:tcW w:type="dxa" w:w="3402"/>
          </w:tcPr>
          <w:p>
            <w:r>
              <w:rPr>
                <w:rFonts w:ascii="Calibri" w:hAnsi="Calibri"/>
                <w:b w:val="0"/>
                <w:color w:val="333333"/>
                <w:sz w:val="18"/>
              </w:rPr>
              <w:t>uid/gid 10001 (baked into the image)</w:t>
            </w:r>
          </w:p>
        </w:tc>
        <w:tc>
          <w:tcPr>
            <w:tcW w:type="dxa" w:w="3969"/>
          </w:tcPr>
          <w:p>
            <w:r>
              <w:rPr>
                <w:rFonts w:ascii="Calibri" w:hAnsi="Calibri"/>
                <w:b w:val="0"/>
                <w:color w:val="333333"/>
                <w:sz w:val="18"/>
              </w:rPr>
              <w:t>uid/gid 10001</w:t>
            </w:r>
          </w:p>
        </w:tc>
      </w:tr>
      <w:tr>
        <w:tc>
          <w:tcPr>
            <w:tcW w:type="dxa" w:w="2268"/>
            <w:shd w:fill="F2F6FA" w:val="clear"/>
          </w:tcPr>
          <w:p>
            <w:r>
              <w:rPr>
                <w:rFonts w:ascii="Calibri" w:hAnsi="Calibri"/>
                <w:b w:val="0"/>
                <w:color w:val="333333"/>
                <w:sz w:val="18"/>
              </w:rPr>
              <w:t>Desired Count</w:t>
            </w:r>
          </w:p>
        </w:tc>
        <w:tc>
          <w:tcPr>
            <w:tcW w:type="dxa" w:w="3402"/>
            <w:shd w:fill="F2F6FA" w:val="clear"/>
          </w:tcPr>
          <w:p>
            <w:r>
              <w:rPr>
                <w:rFonts w:ascii="Calibri" w:hAnsi="Calibri"/>
                <w:b w:val="0"/>
                <w:color w:val="333333"/>
                <w:sz w:val="18"/>
              </w:rPr>
              <w:t>1</w:t>
            </w:r>
          </w:p>
        </w:tc>
        <w:tc>
          <w:tcPr>
            <w:tcW w:type="dxa" w:w="3969"/>
            <w:shd w:fill="F2F6FA" w:val="clear"/>
          </w:tcPr>
          <w:p>
            <w:r>
              <w:rPr>
                <w:rFonts w:ascii="Calibri" w:hAnsi="Calibri"/>
                <w:b w:val="0"/>
                <w:color w:val="333333"/>
                <w:sz w:val="18"/>
              </w:rPr>
              <w:t>2+ across two AZs</w:t>
            </w:r>
          </w:p>
        </w:tc>
      </w:tr>
      <w:tr>
        <w:tc>
          <w:tcPr>
            <w:tcW w:type="dxa" w:w="2268"/>
          </w:tcPr>
          <w:p>
            <w:r>
              <w:rPr>
                <w:rFonts w:ascii="Calibri" w:hAnsi="Calibri"/>
                <w:b w:val="0"/>
                <w:color w:val="333333"/>
                <w:sz w:val="18"/>
              </w:rPr>
              <w:t>Health Check</w:t>
            </w:r>
          </w:p>
        </w:tc>
        <w:tc>
          <w:tcPr>
            <w:tcW w:type="dxa" w:w="3402"/>
          </w:tcPr>
          <w:p>
            <w:r>
              <w:rPr>
                <w:rFonts w:ascii="Calibri" w:hAnsi="Calibri"/>
                <w:b w:val="0"/>
                <w:color w:val="333333"/>
                <w:sz w:val="18"/>
              </w:rPr>
              <w:t>GET /api/v1/health</w:t>
            </w:r>
          </w:p>
        </w:tc>
        <w:tc>
          <w:tcPr>
            <w:tcW w:type="dxa" w:w="3969"/>
          </w:tcPr>
          <w:p>
            <w:r>
              <w:rPr>
                <w:rFonts w:ascii="Calibri" w:hAnsi="Calibri"/>
                <w:b w:val="0"/>
                <w:color w:val="333333"/>
                <w:sz w:val="18"/>
              </w:rPr>
              <w:t>GET /api/v1/health</w:t>
            </w:r>
          </w:p>
        </w:tc>
      </w:tr>
      <w:tr>
        <w:tc>
          <w:tcPr>
            <w:tcW w:type="dxa" w:w="2268"/>
            <w:shd w:fill="F2F6FA" w:val="clear"/>
          </w:tcPr>
          <w:p>
            <w:r>
              <w:rPr>
                <w:rFonts w:ascii="Calibri" w:hAnsi="Calibri"/>
                <w:b w:val="0"/>
                <w:color w:val="333333"/>
                <w:sz w:val="18"/>
              </w:rPr>
              <w:t>Volumes</w:t>
            </w:r>
          </w:p>
        </w:tc>
        <w:tc>
          <w:tcPr>
            <w:tcW w:type="dxa" w:w="3402"/>
            <w:shd w:fill="F2F6FA" w:val="clear"/>
          </w:tcPr>
          <w:p>
            <w:r>
              <w:rPr>
                <w:rFonts w:ascii="Calibri" w:hAnsi="Calibri"/>
                <w:b w:val="0"/>
                <w:color w:val="333333"/>
                <w:sz w:val="18"/>
              </w:rPr>
              <w:t>None required</w:t>
            </w:r>
          </w:p>
        </w:tc>
        <w:tc>
          <w:tcPr>
            <w:tcW w:type="dxa" w:w="3969"/>
            <w:shd w:fill="F2F6FA" w:val="clear"/>
          </w:tcPr>
          <w:p>
            <w:r>
              <w:rPr>
                <w:rFonts w:ascii="Calibri" w:hAnsi="Calibri"/>
                <w:b w:val="0"/>
                <w:color w:val="333333"/>
                <w:sz w:val="18"/>
              </w:rPr>
              <w:t>None required (EFS optional — §5.5)</w:t>
            </w:r>
          </w:p>
        </w:tc>
      </w:tr>
      <w:tr>
        <w:tc>
          <w:tcPr>
            <w:tcW w:type="dxa" w:w="2268"/>
          </w:tcPr>
          <w:p>
            <w:r>
              <w:rPr>
                <w:rFonts w:ascii="Calibri" w:hAnsi="Calibri"/>
                <w:b w:val="0"/>
                <w:color w:val="333333"/>
                <w:sz w:val="18"/>
              </w:rPr>
              <w:t>Logging</w:t>
            </w:r>
          </w:p>
        </w:tc>
        <w:tc>
          <w:tcPr>
            <w:tcW w:type="dxa" w:w="3402"/>
          </w:tcPr>
          <w:p>
            <w:r>
              <w:rPr>
                <w:rFonts w:ascii="Calibri" w:hAnsi="Calibri"/>
                <w:b w:val="0"/>
                <w:color w:val="333333"/>
                <w:sz w:val="18"/>
              </w:rPr>
              <w:t>awslogs → CloudWatch, PYTHONUNBUFFERED=1</w:t>
            </w:r>
          </w:p>
        </w:tc>
        <w:tc>
          <w:tcPr>
            <w:tcW w:type="dxa" w:w="3969"/>
          </w:tcPr>
          <w:p>
            <w:r>
              <w:rPr>
                <w:rFonts w:ascii="Calibri" w:hAnsi="Calibri"/>
                <w:b w:val="0"/>
                <w:color w:val="333333"/>
                <w:sz w:val="18"/>
              </w:rPr>
              <w:t>awslogs → CloudWatch</w:t>
            </w:r>
          </w:p>
        </w:tc>
      </w:tr>
    </w:tbl>
    <w:p/>
    <w:p>
      <w:pPr>
        <w:spacing w:after="120"/>
      </w:pPr>
      <w:r>
        <w:rPr>
          <w:rFonts w:ascii="Calibri" w:hAnsi="Calibri"/>
          <w:b w:val="0"/>
          <w:color w:val="333333"/>
          <w:sz w:val="22"/>
        </w:rPr>
        <w:t>Two distinct IAM identities: the execution role pulls the image and injects secrets; the task role is the application's own identity and carries S3 object access on the blob bucket.</w:t>
      </w:r>
    </w:p>
    <w:p>
      <w:pPr>
        <w:pStyle w:val="Heading2"/>
      </w:pPr>
      <w:r>
        <w:rPr>
          <w:rFonts w:ascii="Calibri" w:hAnsi="Calibri"/>
          <w:color w:val="1B2A4A"/>
        </w:rPr>
        <w:t>4.2 Environment Variables</w:t>
      </w:r>
    </w:p>
    <w:p>
      <w:pPr>
        <w:spacing w:after="120"/>
      </w:pPr>
      <w:r>
        <w:rPr>
          <w:rFonts w:ascii="Calibri" w:hAnsi="Calibri"/>
          <w:b w:val="0"/>
          <w:color w:val="333333"/>
          <w:sz w:val="22"/>
        </w:rPr>
        <w:t>Plain environment (task definition environment: block):</w:t>
      </w:r>
    </w:p>
    <w:tbl>
      <w:tblPr>
        <w:tblW w:type="auto" w:w="0"/>
        <w:jc w:val="center"/>
        <w:tblLook w:firstColumn="1" w:firstRow="1" w:lastColumn="0" w:lastRow="0" w:noHBand="0" w:noVBand="1" w:val="04A0"/>
      </w:tblPr>
      <w:tblGrid>
        <w:gridCol w:w="2880"/>
        <w:gridCol w:w="2880"/>
        <w:gridCol w:w="2880"/>
      </w:tblGrid>
      <w:tr>
        <w:tc>
          <w:tcPr>
            <w:tcW w:type="dxa" w:w="2551"/>
            <w:shd w:fill="1B2A4A" w:val="clear"/>
          </w:tcPr>
          <w:p>
            <w:r>
              <w:rPr>
                <w:rFonts w:ascii="Calibri" w:hAnsi="Calibri"/>
                <w:b/>
                <w:color w:val="FFFFFF"/>
                <w:sz w:val="20"/>
              </w:rPr>
              <w:t>Variable</w:t>
            </w:r>
          </w:p>
        </w:tc>
        <w:tc>
          <w:tcPr>
            <w:tcW w:type="dxa" w:w="3402"/>
            <w:shd w:fill="1B2A4A" w:val="clear"/>
          </w:tcPr>
          <w:p>
            <w:r>
              <w:rPr>
                <w:rFonts w:ascii="Calibri" w:hAnsi="Calibri"/>
                <w:b/>
                <w:color w:val="FFFFFF"/>
                <w:sz w:val="20"/>
              </w:rPr>
              <w:t>Value</w:t>
            </w:r>
          </w:p>
        </w:tc>
        <w:tc>
          <w:tcPr>
            <w:tcW w:type="dxa" w:w="3685"/>
            <w:shd w:fill="1B2A4A" w:val="clear"/>
          </w:tcPr>
          <w:p>
            <w:r>
              <w:rPr>
                <w:rFonts w:ascii="Calibri" w:hAnsi="Calibri"/>
                <w:b/>
                <w:color w:val="FFFFFF"/>
                <w:sz w:val="20"/>
              </w:rPr>
              <w:t>Notes</w:t>
            </w:r>
          </w:p>
        </w:tc>
      </w:tr>
      <w:tr>
        <w:tc>
          <w:tcPr>
            <w:tcW w:type="dxa" w:w="2551"/>
            <w:shd w:fill="F2F6FA" w:val="clear"/>
          </w:tcPr>
          <w:p>
            <w:r>
              <w:rPr>
                <w:rFonts w:ascii="Calibri" w:hAnsi="Calibri"/>
                <w:b w:val="0"/>
                <w:color w:val="333333"/>
                <w:sz w:val="18"/>
              </w:rPr>
              <w:t>PORT</w:t>
            </w:r>
          </w:p>
        </w:tc>
        <w:tc>
          <w:tcPr>
            <w:tcW w:type="dxa" w:w="3402"/>
            <w:shd w:fill="F2F6FA" w:val="clear"/>
          </w:tcPr>
          <w:p>
            <w:r>
              <w:rPr>
                <w:rFonts w:ascii="Calibri" w:hAnsi="Calibri"/>
                <w:b w:val="0"/>
                <w:color w:val="333333"/>
                <w:sz w:val="18"/>
              </w:rPr>
              <w:t>8080</w:t>
            </w:r>
          </w:p>
        </w:tc>
        <w:tc>
          <w:tcPr>
            <w:tcW w:type="dxa" w:w="3685"/>
            <w:shd w:fill="F2F6FA" w:val="clear"/>
          </w:tcPr>
          <w:p>
            <w:r>
              <w:rPr>
                <w:rFonts w:ascii="Calibri" w:hAnsi="Calibri"/>
                <w:b w:val="0"/>
                <w:color w:val="333333"/>
                <w:sz w:val="18"/>
              </w:rPr>
              <w:t>ALB target port</w:t>
            </w:r>
          </w:p>
        </w:tc>
      </w:tr>
      <w:tr>
        <w:tc>
          <w:tcPr>
            <w:tcW w:type="dxa" w:w="2551"/>
          </w:tcPr>
          <w:p>
            <w:r>
              <w:rPr>
                <w:rFonts w:ascii="Calibri" w:hAnsi="Calibri"/>
                <w:b w:val="0"/>
                <w:color w:val="333333"/>
                <w:sz w:val="18"/>
              </w:rPr>
              <w:t>NEO4J_URI</w:t>
            </w:r>
          </w:p>
        </w:tc>
        <w:tc>
          <w:tcPr>
            <w:tcW w:type="dxa" w:w="3402"/>
          </w:tcPr>
          <w:p>
            <w:r>
              <w:rPr>
                <w:rFonts w:ascii="Calibri" w:hAnsi="Calibri"/>
                <w:b w:val="0"/>
                <w:color w:val="333333"/>
                <w:sz w:val="18"/>
              </w:rPr>
              <w:t>neo4j+s://&lt;aura-id&gt;.databases.neo4j.io</w:t>
            </w:r>
          </w:p>
        </w:tc>
        <w:tc>
          <w:tcPr>
            <w:tcW w:type="dxa" w:w="3685"/>
          </w:tcPr>
          <w:p>
            <w:r>
              <w:rPr>
                <w:rFonts w:ascii="Calibri" w:hAnsi="Calibri"/>
                <w:b w:val="0"/>
                <w:color w:val="333333"/>
                <w:sz w:val="18"/>
              </w:rPr>
              <w:t>Managed Neo4j</w:t>
            </w:r>
          </w:p>
        </w:tc>
      </w:tr>
      <w:tr>
        <w:tc>
          <w:tcPr>
            <w:tcW w:type="dxa" w:w="2551"/>
            <w:shd w:fill="F2F6FA" w:val="clear"/>
          </w:tcPr>
          <w:p>
            <w:r>
              <w:rPr>
                <w:rFonts w:ascii="Calibri" w:hAnsi="Calibri"/>
                <w:b w:val="0"/>
                <w:color w:val="333333"/>
                <w:sz w:val="18"/>
              </w:rPr>
              <w:t>NEO4J_USER</w:t>
            </w:r>
          </w:p>
        </w:tc>
        <w:tc>
          <w:tcPr>
            <w:tcW w:type="dxa" w:w="3402"/>
            <w:shd w:fill="F2F6FA" w:val="clear"/>
          </w:tcPr>
          <w:p>
            <w:r>
              <w:rPr>
                <w:rFonts w:ascii="Calibri" w:hAnsi="Calibri"/>
                <w:b w:val="0"/>
                <w:color w:val="333333"/>
                <w:sz w:val="18"/>
              </w:rPr>
              <w:t>neo4j</w:t>
            </w:r>
          </w:p>
        </w:tc>
        <w:tc>
          <w:tcPr>
            <w:tcW w:type="dxa" w:w="3685"/>
            <w:shd w:fill="F2F6FA" w:val="clear"/>
          </w:tcPr>
          <w:p>
            <w:r>
              <w:rPr>
                <w:rFonts w:ascii="Calibri" w:hAnsi="Calibri"/>
                <w:b w:val="0"/>
                <w:color w:val="333333"/>
                <w:sz w:val="18"/>
              </w:rPr>
              <w:t>Password is a secret</w:t>
            </w:r>
          </w:p>
        </w:tc>
      </w:tr>
      <w:tr>
        <w:tc>
          <w:tcPr>
            <w:tcW w:type="dxa" w:w="2551"/>
          </w:tcPr>
          <w:p>
            <w:r>
              <w:rPr>
                <w:rFonts w:ascii="Calibri" w:hAnsi="Calibri"/>
                <w:b w:val="0"/>
                <w:color w:val="333333"/>
                <w:sz w:val="18"/>
              </w:rPr>
              <w:t>NXR_S3_BUCKET</w:t>
            </w:r>
          </w:p>
        </w:tc>
        <w:tc>
          <w:tcPr>
            <w:tcW w:type="dxa" w:w="3402"/>
          </w:tcPr>
          <w:p>
            <w:r>
              <w:rPr>
                <w:rFonts w:ascii="Calibri" w:hAnsi="Calibri"/>
                <w:b w:val="0"/>
                <w:color w:val="333333"/>
                <w:sz w:val="18"/>
              </w:rPr>
              <w:t>nextxr-twin-blobs</w:t>
            </w:r>
          </w:p>
        </w:tc>
        <w:tc>
          <w:tcPr>
            <w:tcW w:type="dxa" w:w="3685"/>
          </w:tcPr>
          <w:p>
            <w:r>
              <w:rPr>
                <w:rFonts w:ascii="Calibri" w:hAnsi="Calibri"/>
                <w:b w:val="0"/>
                <w:color w:val="333333"/>
                <w:sz w:val="18"/>
              </w:rPr>
              <w:t>Blob store; access via the task role</w:t>
            </w:r>
          </w:p>
        </w:tc>
      </w:tr>
      <w:tr>
        <w:tc>
          <w:tcPr>
            <w:tcW w:type="dxa" w:w="2551"/>
            <w:shd w:fill="F2F6FA" w:val="clear"/>
          </w:tcPr>
          <w:p>
            <w:r>
              <w:rPr>
                <w:rFonts w:ascii="Calibri" w:hAnsi="Calibri"/>
                <w:b w:val="0"/>
                <w:color w:val="333333"/>
                <w:sz w:val="18"/>
              </w:rPr>
              <w:t>NXR_S3_PREFIX</w:t>
            </w:r>
          </w:p>
        </w:tc>
        <w:tc>
          <w:tcPr>
            <w:tcW w:type="dxa" w:w="3402"/>
            <w:shd w:fill="F2F6FA" w:val="clear"/>
          </w:tcPr>
          <w:p>
            <w:r>
              <w:rPr>
                <w:rFonts w:ascii="Calibri" w:hAnsi="Calibri"/>
                <w:b w:val="0"/>
                <w:color w:val="333333"/>
                <w:sz w:val="18"/>
              </w:rPr>
              <w:t>prod</w:t>
            </w:r>
          </w:p>
        </w:tc>
        <w:tc>
          <w:tcPr>
            <w:tcW w:type="dxa" w:w="3685"/>
            <w:shd w:fill="F2F6FA" w:val="clear"/>
          </w:tcPr>
          <w:p>
            <w:r>
              <w:rPr>
                <w:rFonts w:ascii="Calibri" w:hAnsi="Calibri"/>
                <w:b w:val="0"/>
                <w:color w:val="333333"/>
                <w:sz w:val="18"/>
              </w:rPr>
              <w:t>Optional — share one bucket across environments</w:t>
            </w:r>
          </w:p>
        </w:tc>
      </w:tr>
      <w:tr>
        <w:tc>
          <w:tcPr>
            <w:tcW w:type="dxa" w:w="2551"/>
          </w:tcPr>
          <w:p>
            <w:r>
              <w:rPr>
                <w:rFonts w:ascii="Calibri" w:hAnsi="Calibri"/>
                <w:b w:val="0"/>
                <w:color w:val="333333"/>
                <w:sz w:val="18"/>
              </w:rPr>
              <w:t>NXR_REDIS_URL</w:t>
            </w:r>
          </w:p>
        </w:tc>
        <w:tc>
          <w:tcPr>
            <w:tcW w:type="dxa" w:w="3402"/>
          </w:tcPr>
          <w:p>
            <w:r>
              <w:rPr>
                <w:rFonts w:ascii="Calibri" w:hAnsi="Calibri"/>
                <w:b w:val="0"/>
                <w:color w:val="333333"/>
                <w:sz w:val="18"/>
              </w:rPr>
              <w:t>redis://...cache.amazonaws.com:6379/0</w:t>
            </w:r>
          </w:p>
        </w:tc>
        <w:tc>
          <w:tcPr>
            <w:tcW w:type="dxa" w:w="3685"/>
          </w:tcPr>
          <w:p>
            <w:r>
              <w:rPr>
                <w:rFonts w:ascii="Calibri" w:hAnsi="Calibri"/>
                <w:b w:val="0"/>
                <w:color w:val="333333"/>
                <w:sz w:val="18"/>
              </w:rPr>
              <w:t>Event bus and ownership leases</w:t>
            </w:r>
          </w:p>
        </w:tc>
      </w:tr>
      <w:tr>
        <w:tc>
          <w:tcPr>
            <w:tcW w:type="dxa" w:w="2551"/>
            <w:shd w:fill="F2F6FA" w:val="clear"/>
          </w:tcPr>
          <w:p>
            <w:r>
              <w:rPr>
                <w:rFonts w:ascii="Calibri" w:hAnsi="Calibri"/>
                <w:b w:val="0"/>
                <w:color w:val="333333"/>
                <w:sz w:val="18"/>
              </w:rPr>
              <w:t>NXR_REQUIRE_DB</w:t>
            </w:r>
          </w:p>
        </w:tc>
        <w:tc>
          <w:tcPr>
            <w:tcW w:type="dxa" w:w="3402"/>
            <w:shd w:fill="F2F6FA" w:val="clear"/>
          </w:tcPr>
          <w:p>
            <w:r>
              <w:rPr>
                <w:rFonts w:ascii="Calibri" w:hAnsi="Calibri"/>
                <w:b w:val="0"/>
                <w:color w:val="333333"/>
                <w:sz w:val="18"/>
              </w:rPr>
              <w:t>1</w:t>
            </w:r>
          </w:p>
        </w:tc>
        <w:tc>
          <w:tcPr>
            <w:tcW w:type="dxa" w:w="3685"/>
            <w:shd w:fill="F2F6FA" w:val="clear"/>
          </w:tcPr>
          <w:p>
            <w:r>
              <w:rPr>
                <w:rFonts w:ascii="Calibri" w:hAnsi="Calibri"/>
                <w:b w:val="0"/>
                <w:color w:val="333333"/>
                <w:sz w:val="18"/>
              </w:rPr>
              <w:t>Refuse to start on the SQLite fallback</w:t>
            </w:r>
          </w:p>
        </w:tc>
      </w:tr>
      <w:tr>
        <w:tc>
          <w:tcPr>
            <w:tcW w:type="dxa" w:w="2551"/>
          </w:tcPr>
          <w:p>
            <w:r>
              <w:rPr>
                <w:rFonts w:ascii="Calibri" w:hAnsi="Calibri"/>
                <w:b w:val="0"/>
                <w:color w:val="333333"/>
                <w:sz w:val="18"/>
              </w:rPr>
              <w:t>NXR_REQUIRE_S3</w:t>
            </w:r>
          </w:p>
        </w:tc>
        <w:tc>
          <w:tcPr>
            <w:tcW w:type="dxa" w:w="3402"/>
          </w:tcPr>
          <w:p>
            <w:r>
              <w:rPr>
                <w:rFonts w:ascii="Calibri" w:hAnsi="Calibri"/>
                <w:b w:val="0"/>
                <w:color w:val="333333"/>
                <w:sz w:val="18"/>
              </w:rPr>
              <w:t>1</w:t>
            </w:r>
          </w:p>
        </w:tc>
        <w:tc>
          <w:tcPr>
            <w:tcW w:type="dxa" w:w="3685"/>
          </w:tcPr>
          <w:p>
            <w:r>
              <w:rPr>
                <w:rFonts w:ascii="Calibri" w:hAnsi="Calibri"/>
                <w:b w:val="0"/>
                <w:color w:val="333333"/>
                <w:sz w:val="18"/>
              </w:rPr>
              <w:t>Refuse to start on local-disk blobs</w:t>
            </w:r>
          </w:p>
        </w:tc>
      </w:tr>
      <w:tr>
        <w:tc>
          <w:tcPr>
            <w:tcW w:type="dxa" w:w="2551"/>
            <w:shd w:fill="F2F6FA" w:val="clear"/>
          </w:tcPr>
          <w:p>
            <w:r>
              <w:rPr>
                <w:rFonts w:ascii="Calibri" w:hAnsi="Calibri"/>
                <w:b w:val="0"/>
                <w:color w:val="333333"/>
                <w:sz w:val="18"/>
              </w:rPr>
              <w:t>NXR_REQUIRE_REDIS</w:t>
            </w:r>
          </w:p>
        </w:tc>
        <w:tc>
          <w:tcPr>
            <w:tcW w:type="dxa" w:w="3402"/>
            <w:shd w:fill="F2F6FA" w:val="clear"/>
          </w:tcPr>
          <w:p>
            <w:r>
              <w:rPr>
                <w:rFonts w:ascii="Calibri" w:hAnsi="Calibri"/>
                <w:b w:val="0"/>
                <w:color w:val="333333"/>
                <w:sz w:val="18"/>
              </w:rPr>
              <w:t>1</w:t>
            </w:r>
          </w:p>
        </w:tc>
        <w:tc>
          <w:tcPr>
            <w:tcW w:type="dxa" w:w="3685"/>
            <w:shd w:fill="F2F6FA" w:val="clear"/>
          </w:tcPr>
          <w:p>
            <w:r>
              <w:rPr>
                <w:rFonts w:ascii="Calibri" w:hAnsi="Calibri"/>
                <w:b w:val="0"/>
                <w:color w:val="333333"/>
                <w:sz w:val="18"/>
              </w:rPr>
              <w:t>Refuse to start on the in-memory bus</w:t>
            </w:r>
          </w:p>
        </w:tc>
      </w:tr>
      <w:tr>
        <w:tc>
          <w:tcPr>
            <w:tcW w:type="dxa" w:w="2551"/>
          </w:tcPr>
          <w:p>
            <w:r>
              <w:rPr>
                <w:rFonts w:ascii="Calibri" w:hAnsi="Calibri"/>
                <w:b w:val="0"/>
                <w:color w:val="333333"/>
                <w:sz w:val="18"/>
              </w:rPr>
              <w:t>NXR_REQUIRE_TIMESCALE</w:t>
            </w:r>
          </w:p>
        </w:tc>
        <w:tc>
          <w:tcPr>
            <w:tcW w:type="dxa" w:w="3402"/>
          </w:tcPr>
          <w:p>
            <w:r>
              <w:rPr>
                <w:rFonts w:ascii="Calibri" w:hAnsi="Calibri"/>
                <w:b w:val="0"/>
                <w:color w:val="333333"/>
                <w:sz w:val="18"/>
              </w:rPr>
              <w:t>1</w:t>
            </w:r>
          </w:p>
        </w:tc>
        <w:tc>
          <w:tcPr>
            <w:tcW w:type="dxa" w:w="3685"/>
          </w:tcPr>
          <w:p>
            <w:r>
              <w:rPr>
                <w:rFonts w:ascii="Calibri" w:hAnsi="Calibri"/>
                <w:b w:val="0"/>
                <w:color w:val="333333"/>
                <w:sz w:val="18"/>
              </w:rPr>
              <w:t>Refuse to start on a plain (non-hypertable) historian</w:t>
            </w:r>
          </w:p>
        </w:tc>
      </w:tr>
      <w:tr>
        <w:tc>
          <w:tcPr>
            <w:tcW w:type="dxa" w:w="2551"/>
            <w:shd w:fill="F2F6FA" w:val="clear"/>
          </w:tcPr>
          <w:p>
            <w:r>
              <w:rPr>
                <w:rFonts w:ascii="Calibri" w:hAnsi="Calibri"/>
                <w:b w:val="0"/>
                <w:color w:val="333333"/>
                <w:sz w:val="18"/>
              </w:rPr>
              <w:t>NXR_REQUIRE_AUTH</w:t>
            </w:r>
          </w:p>
        </w:tc>
        <w:tc>
          <w:tcPr>
            <w:tcW w:type="dxa" w:w="3402"/>
            <w:shd w:fill="F2F6FA" w:val="clear"/>
          </w:tcPr>
          <w:p>
            <w:r>
              <w:rPr>
                <w:rFonts w:ascii="Calibri" w:hAnsi="Calibri"/>
                <w:b w:val="0"/>
                <w:color w:val="333333"/>
                <w:sz w:val="18"/>
              </w:rPr>
              <w:t>1</w:t>
            </w:r>
          </w:p>
        </w:tc>
        <w:tc>
          <w:tcPr>
            <w:tcW w:type="dxa" w:w="3685"/>
            <w:shd w:fill="F2F6FA" w:val="clear"/>
          </w:tcPr>
          <w:p>
            <w:r>
              <w:rPr>
                <w:rFonts w:ascii="Calibri" w:hAnsi="Calibri"/>
                <w:b w:val="0"/>
                <w:color w:val="333333"/>
                <w:sz w:val="18"/>
              </w:rPr>
              <w:t>Reject keyless /api calls even before keys load</w:t>
            </w:r>
          </w:p>
        </w:tc>
      </w:tr>
      <w:tr>
        <w:tc>
          <w:tcPr>
            <w:tcW w:type="dxa" w:w="2551"/>
          </w:tcPr>
          <w:p>
            <w:r>
              <w:rPr>
                <w:rFonts w:ascii="Calibri" w:hAnsi="Calibri"/>
                <w:b w:val="0"/>
                <w:color w:val="333333"/>
                <w:sz w:val="18"/>
              </w:rPr>
              <w:t>NXR_DB_POOL_MAX</w:t>
            </w:r>
          </w:p>
        </w:tc>
        <w:tc>
          <w:tcPr>
            <w:tcW w:type="dxa" w:w="3402"/>
          </w:tcPr>
          <w:p>
            <w:r>
              <w:rPr>
                <w:rFonts w:ascii="Calibri" w:hAnsi="Calibri"/>
                <w:b w:val="0"/>
                <w:color w:val="333333"/>
                <w:sz w:val="18"/>
              </w:rPr>
              <w:t>10</w:t>
            </w:r>
          </w:p>
        </w:tc>
        <w:tc>
          <w:tcPr>
            <w:tcW w:type="dxa" w:w="3685"/>
          </w:tcPr>
          <w:p>
            <w:r>
              <w:rPr>
                <w:rFonts w:ascii="Calibri" w:hAnsi="Calibri"/>
                <w:b w:val="0"/>
                <w:color w:val="333333"/>
                <w:sz w:val="18"/>
              </w:rPr>
              <w:t>Per-task ceiling; server-side total is tasks x this</w:t>
            </w:r>
          </w:p>
        </w:tc>
      </w:tr>
      <w:tr>
        <w:tc>
          <w:tcPr>
            <w:tcW w:type="dxa" w:w="2551"/>
            <w:shd w:fill="F2F6FA" w:val="clear"/>
          </w:tcPr>
          <w:p>
            <w:r>
              <w:rPr>
                <w:rFonts w:ascii="Calibri" w:hAnsi="Calibri"/>
                <w:b w:val="0"/>
                <w:color w:val="333333"/>
                <w:sz w:val="18"/>
              </w:rPr>
              <w:t>NXR_DB_SSLMODE</w:t>
            </w:r>
          </w:p>
        </w:tc>
        <w:tc>
          <w:tcPr>
            <w:tcW w:type="dxa" w:w="3402"/>
            <w:shd w:fill="F2F6FA" w:val="clear"/>
          </w:tcPr>
          <w:p>
            <w:r>
              <w:rPr>
                <w:rFonts w:ascii="Calibri" w:hAnsi="Calibri"/>
                <w:b w:val="0"/>
                <w:color w:val="333333"/>
                <w:sz w:val="18"/>
              </w:rPr>
              <w:t>require</w:t>
            </w:r>
          </w:p>
        </w:tc>
        <w:tc>
          <w:tcPr>
            <w:tcW w:type="dxa" w:w="3685"/>
            <w:shd w:fill="F2F6FA" w:val="clear"/>
          </w:tcPr>
          <w:p>
            <w:r>
              <w:rPr>
                <w:rFonts w:ascii="Calibri" w:hAnsi="Calibri"/>
                <w:b w:val="0"/>
                <w:color w:val="333333"/>
                <w:sz w:val="18"/>
              </w:rPr>
              <w:t>Unless already in the URL</w:t>
            </w:r>
          </w:p>
        </w:tc>
      </w:tr>
      <w:tr>
        <w:tc>
          <w:tcPr>
            <w:tcW w:type="dxa" w:w="2551"/>
          </w:tcPr>
          <w:p>
            <w:r>
              <w:rPr>
                <w:rFonts w:ascii="Calibri" w:hAnsi="Calibri"/>
                <w:b w:val="0"/>
                <w:color w:val="333333"/>
                <w:sz w:val="18"/>
              </w:rPr>
              <w:t>NXR_CORS_ORIGINS</w:t>
            </w:r>
          </w:p>
        </w:tc>
        <w:tc>
          <w:tcPr>
            <w:tcW w:type="dxa" w:w="3402"/>
          </w:tcPr>
          <w:p>
            <w:r>
              <w:rPr>
                <w:rFonts w:ascii="Calibri" w:hAnsi="Calibri"/>
                <w:b w:val="0"/>
                <w:color w:val="333333"/>
                <w:sz w:val="18"/>
              </w:rPr>
              <w:t>https://app...,https://hub...</w:t>
            </w:r>
          </w:p>
        </w:tc>
        <w:tc>
          <w:tcPr>
            <w:tcW w:type="dxa" w:w="3685"/>
          </w:tcPr>
          <w:p>
            <w:r>
              <w:rPr>
                <w:rFonts w:ascii="Calibri" w:hAnsi="Calibri"/>
                <w:b w:val="0"/>
                <w:color w:val="333333"/>
                <w:sz w:val="18"/>
              </w:rPr>
              <w:t>Explicit allow-list</w:t>
            </w:r>
          </w:p>
        </w:tc>
      </w:tr>
      <w:tr>
        <w:tc>
          <w:tcPr>
            <w:tcW w:type="dxa" w:w="2551"/>
            <w:shd w:fill="F2F6FA" w:val="clear"/>
          </w:tcPr>
          <w:p>
            <w:r>
              <w:rPr>
                <w:rFonts w:ascii="Calibri" w:hAnsi="Calibri"/>
                <w:b w:val="0"/>
                <w:color w:val="333333"/>
                <w:sz w:val="18"/>
              </w:rPr>
              <w:t>NXR_CLAUDE_MODEL</w:t>
            </w:r>
          </w:p>
        </w:tc>
        <w:tc>
          <w:tcPr>
            <w:tcW w:type="dxa" w:w="3402"/>
            <w:shd w:fill="F2F6FA" w:val="clear"/>
          </w:tcPr>
          <w:p>
            <w:r>
              <w:rPr>
                <w:rFonts w:ascii="Calibri" w:hAnsi="Calibri"/>
                <w:b w:val="0"/>
                <w:color w:val="333333"/>
                <w:sz w:val="18"/>
              </w:rPr>
              <w:t>claude-sonnet-5</w:t>
            </w:r>
          </w:p>
        </w:tc>
        <w:tc>
          <w:tcPr>
            <w:tcW w:type="dxa" w:w="3685"/>
            <w:shd w:fill="F2F6FA" w:val="clear"/>
          </w:tcPr>
          <w:p>
            <w:r>
              <w:rPr>
                <w:rFonts w:ascii="Calibri" w:hAnsi="Calibri"/>
                <w:b w:val="0"/>
                <w:color w:val="333333"/>
                <w:sz w:val="18"/>
              </w:rPr>
              <w:t>Copilot model override</w:t>
            </w:r>
          </w:p>
        </w:tc>
      </w:tr>
      <w:tr>
        <w:tc>
          <w:tcPr>
            <w:tcW w:type="dxa" w:w="2551"/>
          </w:tcPr>
          <w:p>
            <w:r>
              <w:rPr>
                <w:rFonts w:ascii="Calibri" w:hAnsi="Calibri"/>
                <w:b w:val="0"/>
                <w:color w:val="333333"/>
                <w:sz w:val="18"/>
              </w:rPr>
              <w:t>NXR_INGEST_BEHAVIOURS</w:t>
            </w:r>
          </w:p>
        </w:tc>
        <w:tc>
          <w:tcPr>
            <w:tcW w:type="dxa" w:w="3402"/>
          </w:tcPr>
          <w:p>
            <w:r>
              <w:rPr>
                <w:rFonts w:ascii="Calibri" w:hAnsi="Calibri"/>
                <w:b w:val="0"/>
                <w:color w:val="333333"/>
                <w:sz w:val="18"/>
              </w:rPr>
              <w:t>1</w:t>
            </w:r>
          </w:p>
        </w:tc>
        <w:tc>
          <w:tcPr>
            <w:tcW w:type="dxa" w:w="3685"/>
          </w:tcPr>
          <w:p>
            <w:r>
              <w:rPr>
                <w:rFonts w:ascii="Calibri" w:hAnsi="Calibri"/>
                <w:b w:val="0"/>
                <w:color w:val="333333"/>
                <w:sz w:val="18"/>
              </w:rPr>
              <w:t>Drive the behaviour registry from ingested telemetry</w:t>
            </w:r>
          </w:p>
        </w:tc>
      </w:tr>
    </w:tbl>
    <w:p/>
    <w:p>
      <w:pPr>
        <w:pStyle w:val="Heading2"/>
      </w:pPr>
      <w:r>
        <w:rPr>
          <w:rFonts w:ascii="Calibri" w:hAnsi="Calibri"/>
          <w:color w:val="1B2A4A"/>
        </w:rPr>
        <w:t>4.3 Auto-Scaling</w:t>
      </w:r>
    </w:p>
    <w:tbl>
      <w:tblPr>
        <w:tblW w:type="auto" w:w="0"/>
        <w:jc w:val="center"/>
        <w:tblLook w:firstColumn="1" w:firstRow="1" w:lastColumn="0" w:lastRow="0" w:noHBand="0" w:noVBand="1" w:val="04A0"/>
      </w:tblPr>
      <w:tblGrid>
        <w:gridCol w:w="2880"/>
        <w:gridCol w:w="2880"/>
        <w:gridCol w:w="2880"/>
      </w:tblGrid>
      <w:tr>
        <w:tc>
          <w:tcPr>
            <w:tcW w:type="dxa" w:w="2268"/>
            <w:shd w:fill="1B2A4A" w:val="clear"/>
          </w:tcPr>
          <w:p>
            <w:r>
              <w:rPr>
                <w:rFonts w:ascii="Calibri" w:hAnsi="Calibri"/>
                <w:b/>
                <w:color w:val="FFFFFF"/>
                <w:sz w:val="20"/>
              </w:rPr>
              <w:t>Parameter</w:t>
            </w:r>
          </w:p>
        </w:tc>
        <w:tc>
          <w:tcPr>
            <w:tcW w:type="dxa" w:w="2835"/>
            <w:shd w:fill="1B2A4A" w:val="clear"/>
          </w:tcPr>
          <w:p>
            <w:r>
              <w:rPr>
                <w:rFonts w:ascii="Calibri" w:hAnsi="Calibri"/>
                <w:b/>
                <w:color w:val="FFFFFF"/>
                <w:sz w:val="20"/>
              </w:rPr>
              <w:t>Dev/Staging</w:t>
            </w:r>
          </w:p>
        </w:tc>
        <w:tc>
          <w:tcPr>
            <w:tcW w:type="dxa" w:w="4535"/>
            <w:shd w:fill="1B2A4A" w:val="clear"/>
          </w:tcPr>
          <w:p>
            <w:r>
              <w:rPr>
                <w:rFonts w:ascii="Calibri" w:hAnsi="Calibri"/>
                <w:b/>
                <w:color w:val="FFFFFF"/>
                <w:sz w:val="20"/>
              </w:rPr>
              <w:t>Production</w:t>
            </w:r>
          </w:p>
        </w:tc>
      </w:tr>
      <w:tr>
        <w:tc>
          <w:tcPr>
            <w:tcW w:type="dxa" w:w="2268"/>
            <w:shd w:fill="F2F6FA" w:val="clear"/>
          </w:tcPr>
          <w:p>
            <w:r>
              <w:rPr>
                <w:rFonts w:ascii="Calibri" w:hAnsi="Calibri"/>
                <w:b w:val="0"/>
                <w:color w:val="333333"/>
                <w:sz w:val="18"/>
              </w:rPr>
              <w:t>Minimum Tasks</w:t>
            </w:r>
          </w:p>
        </w:tc>
        <w:tc>
          <w:tcPr>
            <w:tcW w:type="dxa" w:w="2835"/>
            <w:shd w:fill="F2F6FA" w:val="clear"/>
          </w:tcPr>
          <w:p>
            <w:r>
              <w:rPr>
                <w:rFonts w:ascii="Calibri" w:hAnsi="Calibri"/>
                <w:b w:val="0"/>
                <w:color w:val="333333"/>
                <w:sz w:val="18"/>
              </w:rPr>
              <w:t>1</w:t>
            </w:r>
          </w:p>
        </w:tc>
        <w:tc>
          <w:tcPr>
            <w:tcW w:type="dxa" w:w="4535"/>
            <w:shd w:fill="F2F6FA" w:val="clear"/>
          </w:tcPr>
          <w:p>
            <w:r>
              <w:rPr>
                <w:rFonts w:ascii="Calibri" w:hAnsi="Calibri"/>
                <w:b w:val="0"/>
                <w:color w:val="333333"/>
                <w:sz w:val="18"/>
              </w:rPr>
              <w:t>2</w:t>
            </w:r>
          </w:p>
        </w:tc>
      </w:tr>
      <w:tr>
        <w:tc>
          <w:tcPr>
            <w:tcW w:type="dxa" w:w="2268"/>
          </w:tcPr>
          <w:p>
            <w:r>
              <w:rPr>
                <w:rFonts w:ascii="Calibri" w:hAnsi="Calibri"/>
                <w:b w:val="0"/>
                <w:color w:val="333333"/>
                <w:sz w:val="18"/>
              </w:rPr>
              <w:t>Maximum Tasks</w:t>
            </w:r>
          </w:p>
        </w:tc>
        <w:tc>
          <w:tcPr>
            <w:tcW w:type="dxa" w:w="2835"/>
          </w:tcPr>
          <w:p>
            <w:r>
              <w:rPr>
                <w:rFonts w:ascii="Calibri" w:hAnsi="Calibri"/>
                <w:b w:val="0"/>
                <w:color w:val="333333"/>
                <w:sz w:val="18"/>
              </w:rPr>
              <w:t>2</w:t>
            </w:r>
          </w:p>
        </w:tc>
        <w:tc>
          <w:tcPr>
            <w:tcW w:type="dxa" w:w="4535"/>
          </w:tcPr>
          <w:p>
            <w:r>
              <w:rPr>
                <w:rFonts w:ascii="Calibri" w:hAnsi="Calibri"/>
                <w:b w:val="0"/>
                <w:color w:val="333333"/>
                <w:sz w:val="18"/>
              </w:rPr>
              <w:t>6</w:t>
            </w:r>
          </w:p>
        </w:tc>
      </w:tr>
      <w:tr>
        <w:tc>
          <w:tcPr>
            <w:tcW w:type="dxa" w:w="2268"/>
            <w:shd w:fill="F2F6FA" w:val="clear"/>
          </w:tcPr>
          <w:p>
            <w:r>
              <w:rPr>
                <w:rFonts w:ascii="Calibri" w:hAnsi="Calibri"/>
                <w:b w:val="0"/>
                <w:color w:val="333333"/>
                <w:sz w:val="18"/>
              </w:rPr>
              <w:t>Scale-out metric</w:t>
            </w:r>
          </w:p>
        </w:tc>
        <w:tc>
          <w:tcPr>
            <w:tcW w:type="dxa" w:w="2835"/>
            <w:shd w:fill="F2F6FA" w:val="clear"/>
          </w:tcPr>
          <w:p>
            <w:r>
              <w:rPr>
                <w:rFonts w:ascii="Calibri" w:hAnsi="Calibri"/>
                <w:b w:val="0"/>
                <w:color w:val="333333"/>
                <w:sz w:val="18"/>
              </w:rPr>
              <w:t>CPU &gt; 70%</w:t>
            </w:r>
          </w:p>
        </w:tc>
        <w:tc>
          <w:tcPr>
            <w:tcW w:type="dxa" w:w="4535"/>
            <w:shd w:fill="F2F6FA" w:val="clear"/>
          </w:tcPr>
          <w:p>
            <w:r>
              <w:rPr>
                <w:rFonts w:ascii="Calibri" w:hAnsi="Calibri"/>
                <w:b w:val="0"/>
                <w:color w:val="333333"/>
                <w:sz w:val="18"/>
              </w:rPr>
              <w:t>CPU &gt; 60% OR RequestCount &gt; 1000/min</w:t>
            </w:r>
          </w:p>
        </w:tc>
      </w:tr>
      <w:tr>
        <w:tc>
          <w:tcPr>
            <w:tcW w:type="dxa" w:w="2268"/>
          </w:tcPr>
          <w:p>
            <w:r>
              <w:rPr>
                <w:rFonts w:ascii="Calibri" w:hAnsi="Calibri"/>
                <w:b w:val="0"/>
                <w:color w:val="333333"/>
                <w:sz w:val="18"/>
              </w:rPr>
              <w:t>Scale-in metric</w:t>
            </w:r>
          </w:p>
        </w:tc>
        <w:tc>
          <w:tcPr>
            <w:tcW w:type="dxa" w:w="2835"/>
          </w:tcPr>
          <w:p>
            <w:r>
              <w:rPr>
                <w:rFonts w:ascii="Calibri" w:hAnsi="Calibri"/>
                <w:b w:val="0"/>
                <w:color w:val="333333"/>
                <w:sz w:val="18"/>
              </w:rPr>
              <w:t>CPU &lt; 30%</w:t>
            </w:r>
          </w:p>
        </w:tc>
        <w:tc>
          <w:tcPr>
            <w:tcW w:type="dxa" w:w="4535"/>
          </w:tcPr>
          <w:p>
            <w:r>
              <w:rPr>
                <w:rFonts w:ascii="Calibri" w:hAnsi="Calibri"/>
                <w:b w:val="0"/>
                <w:color w:val="333333"/>
                <w:sz w:val="18"/>
              </w:rPr>
              <w:t>CPU &lt; 25%</w:t>
            </w:r>
          </w:p>
        </w:tc>
      </w:tr>
      <w:tr>
        <w:tc>
          <w:tcPr>
            <w:tcW w:type="dxa" w:w="2268"/>
            <w:shd w:fill="F2F6FA" w:val="clear"/>
          </w:tcPr>
          <w:p>
            <w:r>
              <w:rPr>
                <w:rFonts w:ascii="Calibri" w:hAnsi="Calibri"/>
                <w:b w:val="0"/>
                <w:color w:val="333333"/>
                <w:sz w:val="18"/>
              </w:rPr>
              <w:t>Sticky sessions</w:t>
            </w:r>
          </w:p>
        </w:tc>
        <w:tc>
          <w:tcPr>
            <w:tcW w:type="dxa" w:w="2835"/>
            <w:shd w:fill="F2F6FA" w:val="clear"/>
          </w:tcPr>
          <w:p>
            <w:r>
              <w:rPr>
                <w:rFonts w:ascii="Calibri" w:hAnsi="Calibri"/>
                <w:b w:val="0"/>
                <w:color w:val="333333"/>
                <w:sz w:val="18"/>
              </w:rPr>
              <w:t>Not required</w:t>
            </w:r>
          </w:p>
        </w:tc>
        <w:tc>
          <w:tcPr>
            <w:tcW w:type="dxa" w:w="4535"/>
            <w:shd w:fill="F2F6FA" w:val="clear"/>
          </w:tcPr>
          <w:p>
            <w:r>
              <w:rPr>
                <w:rFonts w:ascii="Calibri" w:hAnsi="Calibri"/>
                <w:b w:val="0"/>
                <w:color w:val="333333"/>
                <w:sz w:val="18"/>
              </w:rPr>
              <w:t>Not required — agent checkpoints are in PostgreSQL</w:t>
            </w:r>
          </w:p>
        </w:tc>
      </w:tr>
      <w:tr>
        <w:tc>
          <w:tcPr>
            <w:tcW w:type="dxa" w:w="2268"/>
          </w:tcPr>
          <w:p>
            <w:r>
              <w:rPr>
                <w:rFonts w:ascii="Calibri" w:hAnsi="Calibri"/>
                <w:b w:val="0"/>
                <w:color w:val="333333"/>
                <w:sz w:val="18"/>
              </w:rPr>
              <w:t>Simulation load</w:t>
            </w:r>
          </w:p>
        </w:tc>
        <w:tc>
          <w:tcPr>
            <w:tcW w:type="dxa" w:w="2835"/>
          </w:tcPr>
          <w:p>
            <w:r>
              <w:rPr>
                <w:rFonts w:ascii="Calibri" w:hAnsi="Calibri"/>
                <w:b w:val="0"/>
                <w:color w:val="333333"/>
                <w:sz w:val="18"/>
              </w:rPr>
              <w:t>Single task owns every twin</w:t>
            </w:r>
          </w:p>
        </w:tc>
        <w:tc>
          <w:tcPr>
            <w:tcW w:type="dxa" w:w="4535"/>
          </w:tcPr>
          <w:p>
            <w:r>
              <w:rPr>
                <w:rFonts w:ascii="Calibri" w:hAnsi="Calibri"/>
                <w:b w:val="0"/>
                <w:color w:val="333333"/>
                <w:sz w:val="18"/>
              </w:rPr>
              <w:t>Ownership is per tenant, so simulation spreads across the fleet</w:t>
            </w:r>
          </w:p>
        </w:tc>
      </w:tr>
    </w:tbl>
    <w:p/>
    <w:p>
      <w:pPr>
        <w:spacing w:after="120"/>
      </w:pPr>
      <w:r>
        <w:rPr>
          <w:rFonts w:ascii="Calibri" w:hAnsi="Calibri"/>
          <w:b w:val="0"/>
          <w:color w:val="333333"/>
          <w:sz w:val="22"/>
        </w:rPr>
        <w:t>Multi-task is safe because the task is stateless and live physics has exactly one owner per tenant (a short Redis lease). That was the single biggest architectural constraint in the earlier SQLite/EFS design and it is gone.</w:t>
      </w:r>
    </w:p>
    <w:p>
      <w:r>
        <w:br w:type="page"/>
      </w:r>
    </w:p>
    <w:p>
      <w:pPr>
        <w:pStyle w:val="Heading1"/>
      </w:pPr>
      <w:r>
        <w:rPr>
          <w:rFonts w:ascii="Calibri" w:hAnsi="Calibri"/>
          <w:color w:val="1B2A4A"/>
        </w:rPr>
        <w:t>5. Data Tier</w:t>
      </w:r>
    </w:p>
    <w:p>
      <w:pPr>
        <w:pStyle w:val="Heading2"/>
      </w:pPr>
      <w:r>
        <w:rPr>
          <w:rFonts w:ascii="Calibri" w:hAnsi="Calibri"/>
          <w:color w:val="1B2A4A"/>
        </w:rPr>
        <w:t>5.1 RDS PostgreSQL 16</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Parameter</w:t>
            </w:r>
          </w:p>
        </w:tc>
        <w:tc>
          <w:tcPr>
            <w:tcW w:type="dxa" w:w="7370"/>
            <w:shd w:fill="1B2A4A" w:val="clear"/>
          </w:tcPr>
          <w:p>
            <w:r>
              <w:rPr>
                <w:rFonts w:ascii="Calibri" w:hAnsi="Calibri"/>
                <w:b/>
                <w:color w:val="FFFFFF"/>
                <w:sz w:val="20"/>
              </w:rPr>
              <w:t>Value</w:t>
            </w:r>
          </w:p>
        </w:tc>
      </w:tr>
      <w:tr>
        <w:tc>
          <w:tcPr>
            <w:tcW w:type="dxa" w:w="2268"/>
            <w:shd w:fill="F2F6FA" w:val="clear"/>
          </w:tcPr>
          <w:p>
            <w:r>
              <w:rPr>
                <w:rFonts w:ascii="Calibri" w:hAnsi="Calibri"/>
                <w:b w:val="0"/>
                <w:color w:val="333333"/>
                <w:sz w:val="18"/>
              </w:rPr>
              <w:t>Engine</w:t>
            </w:r>
          </w:p>
        </w:tc>
        <w:tc>
          <w:tcPr>
            <w:tcW w:type="dxa" w:w="7370"/>
            <w:shd w:fill="F2F6FA" w:val="clear"/>
          </w:tcPr>
          <w:p>
            <w:r>
              <w:rPr>
                <w:rFonts w:ascii="Calibri" w:hAnsi="Calibri"/>
                <w:b w:val="0"/>
                <w:color w:val="333333"/>
                <w:sz w:val="18"/>
              </w:rPr>
              <w:t>PostgreSQL 16.x, plain RDS (not Aurora): cheaper at this size, flat I/O pricing, and the same engine runs on-prem for a customer who needs it</w:t>
            </w:r>
          </w:p>
        </w:tc>
      </w:tr>
      <w:tr>
        <w:tc>
          <w:tcPr>
            <w:tcW w:type="dxa" w:w="2268"/>
          </w:tcPr>
          <w:p>
            <w:r>
              <w:rPr>
                <w:rFonts w:ascii="Calibri" w:hAnsi="Calibri"/>
                <w:b w:val="0"/>
                <w:color w:val="333333"/>
                <w:sz w:val="18"/>
              </w:rPr>
              <w:t>Instance (Dev)</w:t>
            </w:r>
          </w:p>
        </w:tc>
        <w:tc>
          <w:tcPr>
            <w:tcW w:type="dxa" w:w="7370"/>
          </w:tcPr>
          <w:p>
            <w:r>
              <w:rPr>
                <w:rFonts w:ascii="Calibri" w:hAnsi="Calibri"/>
                <w:b w:val="0"/>
                <w:color w:val="333333"/>
                <w:sz w:val="18"/>
              </w:rPr>
              <w:t>db.t4g.small (2 vCPU, 2 GB)</w:t>
            </w:r>
          </w:p>
        </w:tc>
      </w:tr>
      <w:tr>
        <w:tc>
          <w:tcPr>
            <w:tcW w:type="dxa" w:w="2268"/>
            <w:shd w:fill="F2F6FA" w:val="clear"/>
          </w:tcPr>
          <w:p>
            <w:r>
              <w:rPr>
                <w:rFonts w:ascii="Calibri" w:hAnsi="Calibri"/>
                <w:b w:val="0"/>
                <w:color w:val="333333"/>
                <w:sz w:val="18"/>
              </w:rPr>
              <w:t>Instance (Prod)</w:t>
            </w:r>
          </w:p>
        </w:tc>
        <w:tc>
          <w:tcPr>
            <w:tcW w:type="dxa" w:w="7370"/>
            <w:shd w:fill="F2F6FA" w:val="clear"/>
          </w:tcPr>
          <w:p>
            <w:r>
              <w:rPr>
                <w:rFonts w:ascii="Calibri" w:hAnsi="Calibri"/>
                <w:b w:val="0"/>
                <w:color w:val="333333"/>
                <w:sz w:val="18"/>
              </w:rPr>
              <w:t>db.t4g.medium (2 vCPU, 4 GB) + gp3 — ample for metadata and an audit log</w:t>
            </w:r>
          </w:p>
        </w:tc>
      </w:tr>
      <w:tr>
        <w:tc>
          <w:tcPr>
            <w:tcW w:type="dxa" w:w="2268"/>
          </w:tcPr>
          <w:p>
            <w:r>
              <w:rPr>
                <w:rFonts w:ascii="Calibri" w:hAnsi="Calibri"/>
                <w:b w:val="0"/>
                <w:color w:val="333333"/>
                <w:sz w:val="18"/>
              </w:rPr>
              <w:t>Storage</w:t>
            </w:r>
          </w:p>
        </w:tc>
        <w:tc>
          <w:tcPr>
            <w:tcW w:type="dxa" w:w="7370"/>
          </w:tcPr>
          <w:p>
            <w:r>
              <w:rPr>
                <w:rFonts w:ascii="Calibri" w:hAnsi="Calibri"/>
                <w:b w:val="0"/>
                <w:color w:val="333333"/>
                <w:sz w:val="18"/>
              </w:rPr>
              <w:t>20 GB gp3 (dev), 100 GB gp3 (prod), autoscaling enabled</w:t>
            </w:r>
          </w:p>
        </w:tc>
      </w:tr>
      <w:tr>
        <w:tc>
          <w:tcPr>
            <w:tcW w:type="dxa" w:w="2268"/>
            <w:shd w:fill="F2F6FA" w:val="clear"/>
          </w:tcPr>
          <w:p>
            <w:r>
              <w:rPr>
                <w:rFonts w:ascii="Calibri" w:hAnsi="Calibri"/>
                <w:b w:val="0"/>
                <w:color w:val="333333"/>
                <w:sz w:val="18"/>
              </w:rPr>
              <w:t>Multi-AZ</w:t>
            </w:r>
          </w:p>
        </w:tc>
        <w:tc>
          <w:tcPr>
            <w:tcW w:type="dxa" w:w="7370"/>
            <w:shd w:fill="F2F6FA" w:val="clear"/>
          </w:tcPr>
          <w:p>
            <w:r>
              <w:rPr>
                <w:rFonts w:ascii="Calibri" w:hAnsi="Calibri"/>
                <w:b w:val="0"/>
                <w:color w:val="333333"/>
                <w:sz w:val="18"/>
              </w:rPr>
              <w:t>No (dev), Yes (prod)</w:t>
            </w:r>
          </w:p>
        </w:tc>
      </w:tr>
      <w:tr>
        <w:tc>
          <w:tcPr>
            <w:tcW w:type="dxa" w:w="2268"/>
          </w:tcPr>
          <w:p>
            <w:r>
              <w:rPr>
                <w:rFonts w:ascii="Calibri" w:hAnsi="Calibri"/>
                <w:b w:val="0"/>
                <w:color w:val="333333"/>
                <w:sz w:val="18"/>
              </w:rPr>
              <w:t>Backups</w:t>
            </w:r>
          </w:p>
        </w:tc>
        <w:tc>
          <w:tcPr>
            <w:tcW w:type="dxa" w:w="7370"/>
          </w:tcPr>
          <w:p>
            <w:r>
              <w:rPr>
                <w:rFonts w:ascii="Calibri" w:hAnsi="Calibri"/>
                <w:b w:val="0"/>
                <w:color w:val="333333"/>
                <w:sz w:val="18"/>
              </w:rPr>
              <w:t>Automated with PITR — the change log is an audit record, which is the point</w:t>
            </w:r>
          </w:p>
        </w:tc>
      </w:tr>
      <w:tr>
        <w:tc>
          <w:tcPr>
            <w:tcW w:type="dxa" w:w="2268"/>
            <w:shd w:fill="F2F6FA" w:val="clear"/>
          </w:tcPr>
          <w:p>
            <w:r>
              <w:rPr>
                <w:rFonts w:ascii="Calibri" w:hAnsi="Calibri"/>
                <w:b w:val="0"/>
                <w:color w:val="333333"/>
                <w:sz w:val="18"/>
              </w:rPr>
              <w:t>Encryption</w:t>
            </w:r>
          </w:p>
        </w:tc>
        <w:tc>
          <w:tcPr>
            <w:tcW w:type="dxa" w:w="7370"/>
            <w:shd w:fill="F2F6FA" w:val="clear"/>
          </w:tcPr>
          <w:p>
            <w:r>
              <w:rPr>
                <w:rFonts w:ascii="Calibri" w:hAnsi="Calibri"/>
                <w:b w:val="0"/>
                <w:color w:val="333333"/>
                <w:sz w:val="18"/>
              </w:rPr>
              <w:t>AES-256 via KMS at rest; sslmode=require in transit</w:t>
            </w:r>
          </w:p>
        </w:tc>
      </w:tr>
      <w:tr>
        <w:tc>
          <w:tcPr>
            <w:tcW w:type="dxa" w:w="2268"/>
          </w:tcPr>
          <w:p>
            <w:r>
              <w:rPr>
                <w:rFonts w:ascii="Calibri" w:hAnsi="Calibri"/>
                <w:b w:val="0"/>
                <w:color w:val="333333"/>
                <w:sz w:val="18"/>
              </w:rPr>
              <w:t>Extensions</w:t>
            </w:r>
          </w:p>
        </w:tc>
        <w:tc>
          <w:tcPr>
            <w:tcW w:type="dxa" w:w="7370"/>
          </w:tcPr>
          <w:p>
            <w:r>
              <w:rPr>
                <w:rFonts w:ascii="Calibri" w:hAnsi="Calibri"/>
                <w:b w:val="0"/>
                <w:color w:val="333333"/>
                <w:sz w:val="18"/>
              </w:rPr>
              <w:t>timescaledb (required in production), pgvector and postgis (optional, python -m db.schema --extensions)</w:t>
            </w:r>
          </w:p>
        </w:tc>
      </w:tr>
      <w:tr>
        <w:tc>
          <w:tcPr>
            <w:tcW w:type="dxa" w:w="2268"/>
            <w:shd w:fill="F2F6FA" w:val="clear"/>
          </w:tcPr>
          <w:p>
            <w:r>
              <w:rPr>
                <w:rFonts w:ascii="Calibri" w:hAnsi="Calibri"/>
                <w:b w:val="0"/>
                <w:color w:val="333333"/>
                <w:sz w:val="18"/>
              </w:rPr>
              <w:t>Schema</w:t>
            </w:r>
          </w:p>
        </w:tc>
        <w:tc>
          <w:tcPr>
            <w:tcW w:type="dxa" w:w="7370"/>
            <w:shd w:fill="F2F6FA" w:val="clear"/>
          </w:tcPr>
          <w:p>
            <w:r>
              <w:rPr>
                <w:rFonts w:ascii="Calibri" w:hAnsi="Calibri"/>
                <w:b w:val="0"/>
                <w:color w:val="333333"/>
                <w:sz w:val="18"/>
              </w:rPr>
              <w:t>8 platform tables + measurements hypertable + 3 continuous aggregates (see R4)</w:t>
            </w:r>
          </w:p>
        </w:tc>
      </w:tr>
      <w:tr>
        <w:tc>
          <w:tcPr>
            <w:tcW w:type="dxa" w:w="2268"/>
          </w:tcPr>
          <w:p>
            <w:r>
              <w:rPr>
                <w:rFonts w:ascii="Calibri" w:hAnsi="Calibri"/>
                <w:b w:val="0"/>
                <w:color w:val="333333"/>
                <w:sz w:val="18"/>
              </w:rPr>
              <w:t>Pooling</w:t>
            </w:r>
          </w:p>
        </w:tc>
        <w:tc>
          <w:tcPr>
            <w:tcW w:type="dxa" w:w="7370"/>
          </w:tcPr>
          <w:p>
            <w:r>
              <w:rPr>
                <w:rFonts w:ascii="Calibri" w:hAnsi="Calibri"/>
                <w:b w:val="0"/>
                <w:color w:val="333333"/>
                <w:sz w:val="18"/>
              </w:rPr>
              <w:t>Per-task pool 1–10; RDS Proxy in front, sized against the instance's max_connections with headroom for migrations and bastion sessions</w:t>
            </w:r>
          </w:p>
        </w:tc>
      </w:tr>
    </w:tbl>
    <w:p/>
    <w:p>
      <w:pPr>
        <w:pStyle w:val="Heading2"/>
      </w:pPr>
      <w:r>
        <w:rPr>
          <w:rFonts w:ascii="Calibri" w:hAnsi="Calibri"/>
          <w:color w:val="1B2A4A"/>
        </w:rPr>
        <w:t>5.2 TimescaleDB (the telemetry historian)</w:t>
      </w:r>
    </w:p>
    <w:p>
      <w:pPr>
        <w:spacing w:after="120"/>
      </w:pPr>
      <w:r>
        <w:rPr>
          <w:rFonts w:ascii="Calibri" w:hAnsi="Calibri"/>
          <w:b w:val="0"/>
          <w:color w:val="333333"/>
          <w:sz w:val="22"/>
        </w:rPr>
        <w:t>The historian is an extension on the RDS instance above, not a second database. That property matters more than raw benchmark numbers: a dedicated time-series database is faster in isolation and strictly worse to operate, and an architecture review will ask about operations.</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Parameter</w:t>
            </w:r>
          </w:p>
        </w:tc>
        <w:tc>
          <w:tcPr>
            <w:tcW w:type="dxa" w:w="7370"/>
            <w:shd w:fill="1B2A4A" w:val="clear"/>
          </w:tcPr>
          <w:p>
            <w:r>
              <w:rPr>
                <w:rFonts w:ascii="Calibri" w:hAnsi="Calibri"/>
                <w:b/>
                <w:color w:val="FFFFFF"/>
                <w:sz w:val="20"/>
              </w:rPr>
              <w:t>Value</w:t>
            </w:r>
          </w:p>
        </w:tc>
      </w:tr>
      <w:tr>
        <w:tc>
          <w:tcPr>
            <w:tcW w:type="dxa" w:w="2268"/>
            <w:shd w:fill="F2F6FA" w:val="clear"/>
          </w:tcPr>
          <w:p>
            <w:r>
              <w:rPr>
                <w:rFonts w:ascii="Calibri" w:hAnsi="Calibri"/>
                <w:b w:val="0"/>
                <w:color w:val="333333"/>
                <w:sz w:val="18"/>
              </w:rPr>
              <w:t>Hypertable</w:t>
            </w:r>
          </w:p>
        </w:tc>
        <w:tc>
          <w:tcPr>
            <w:tcW w:type="dxa" w:w="7370"/>
            <w:shd w:fill="F2F6FA" w:val="clear"/>
          </w:tcPr>
          <w:p>
            <w:r>
              <w:rPr>
                <w:rFonts w:ascii="Calibri" w:hAnsi="Calibri"/>
                <w:b w:val="0"/>
                <w:color w:val="333333"/>
                <w:sz w:val="18"/>
              </w:rPr>
              <w:t>measurements, 1-day chunks, partitioned on ts</w:t>
            </w:r>
          </w:p>
        </w:tc>
      </w:tr>
      <w:tr>
        <w:tc>
          <w:tcPr>
            <w:tcW w:type="dxa" w:w="2268"/>
          </w:tcPr>
          <w:p>
            <w:r>
              <w:rPr>
                <w:rFonts w:ascii="Calibri" w:hAnsi="Calibri"/>
                <w:b w:val="0"/>
                <w:color w:val="333333"/>
                <w:sz w:val="18"/>
              </w:rPr>
              <w:t>Continuous aggregates</w:t>
            </w:r>
          </w:p>
        </w:tc>
        <w:tc>
          <w:tcPr>
            <w:tcW w:type="dxa" w:w="7370"/>
          </w:tcPr>
          <w:p>
            <w:r>
              <w:rPr>
                <w:rFonts w:ascii="Calibri" w:hAnsi="Calibri"/>
                <w:b w:val="0"/>
                <w:color w:val="333333"/>
                <w:sz w:val="18"/>
              </w:rPr>
              <w:t>measurements_1m, _1h, _1d — count and sum rather than avg</w:t>
            </w:r>
          </w:p>
        </w:tc>
      </w:tr>
      <w:tr>
        <w:tc>
          <w:tcPr>
            <w:tcW w:type="dxa" w:w="2268"/>
            <w:shd w:fill="F2F6FA" w:val="clear"/>
          </w:tcPr>
          <w:p>
            <w:r>
              <w:rPr>
                <w:rFonts w:ascii="Calibri" w:hAnsi="Calibri"/>
                <w:b w:val="0"/>
                <w:color w:val="333333"/>
                <w:sz w:val="18"/>
              </w:rPr>
              <w:t>Compression</w:t>
            </w:r>
          </w:p>
        </w:tc>
        <w:tc>
          <w:tcPr>
            <w:tcW w:type="dxa" w:w="7370"/>
            <w:shd w:fill="F2F6FA" w:val="clear"/>
          </w:tcPr>
          <w:p>
            <w:r>
              <w:rPr>
                <w:rFonts w:ascii="Calibri" w:hAnsi="Calibri"/>
                <w:b w:val="0"/>
                <w:color w:val="333333"/>
                <w:sz w:val="18"/>
              </w:rPr>
              <w:t>After 7 days; segment by (tenant_id, asset_id, signal), order by ts DESC — 10–20x</w:t>
            </w:r>
          </w:p>
        </w:tc>
      </w:tr>
      <w:tr>
        <w:tc>
          <w:tcPr>
            <w:tcW w:type="dxa" w:w="2268"/>
          </w:tcPr>
          <w:p>
            <w:r>
              <w:rPr>
                <w:rFonts w:ascii="Calibri" w:hAnsi="Calibri"/>
                <w:b w:val="0"/>
                <w:color w:val="333333"/>
                <w:sz w:val="18"/>
              </w:rPr>
              <w:t>Retention</w:t>
            </w:r>
          </w:p>
        </w:tc>
        <w:tc>
          <w:tcPr>
            <w:tcW w:type="dxa" w:w="7370"/>
          </w:tcPr>
          <w:p>
            <w:r>
              <w:rPr>
                <w:rFonts w:ascii="Calibri" w:hAnsi="Calibri"/>
                <w:b w:val="0"/>
                <w:color w:val="333333"/>
                <w:sz w:val="18"/>
              </w:rPr>
              <w:t>raw 30 d, 1m 400 d, 1h 1095 d, 1d indefinite; all overridable per deployment</w:t>
            </w:r>
          </w:p>
        </w:tc>
      </w:tr>
      <w:tr>
        <w:tc>
          <w:tcPr>
            <w:tcW w:type="dxa" w:w="2268"/>
            <w:shd w:fill="F2F6FA" w:val="clear"/>
          </w:tcPr>
          <w:p>
            <w:r>
              <w:rPr>
                <w:rFonts w:ascii="Calibri" w:hAnsi="Calibri"/>
                <w:b w:val="0"/>
                <w:color w:val="333333"/>
                <w:sz w:val="18"/>
              </w:rPr>
              <w:t>Storage impact</w:t>
            </w:r>
          </w:p>
        </w:tc>
        <w:tc>
          <w:tcPr>
            <w:tcW w:type="dxa" w:w="7370"/>
            <w:shd w:fill="F2F6FA" w:val="clear"/>
          </w:tcPr>
          <w:p>
            <w:r>
              <w:rPr>
                <w:rFonts w:ascii="Calibri" w:hAnsi="Calibri"/>
                <w:b w:val="0"/>
                <w:color w:val="333333"/>
                <w:sz w:val="18"/>
              </w:rPr>
              <w:t>At 5,000 signals @ 1 Hz, compression is the difference between ~4 GB/day and ~50 GB/day</w:t>
            </w:r>
          </w:p>
        </w:tc>
      </w:tr>
      <w:tr>
        <w:tc>
          <w:tcPr>
            <w:tcW w:type="dxa" w:w="2268"/>
          </w:tcPr>
          <w:p>
            <w:r>
              <w:rPr>
                <w:rFonts w:ascii="Calibri" w:hAnsi="Calibri"/>
                <w:b w:val="0"/>
                <w:color w:val="333333"/>
                <w:sz w:val="18"/>
              </w:rPr>
              <w:t>Provisioning</w:t>
            </w:r>
          </w:p>
        </w:tc>
        <w:tc>
          <w:tcPr>
            <w:tcW w:type="dxa" w:w="7370"/>
          </w:tcPr>
          <w:p>
            <w:r>
              <w:rPr>
                <w:rFonts w:ascii="Calibri" w:hAnsi="Calibri"/>
                <w:b w:val="0"/>
                <w:color w:val="333333"/>
                <w:sz w:val="18"/>
              </w:rPr>
              <w:t>python -m tools.historian_provision --extension (needs rds_superuser); --check reports and changes nothing</w:t>
            </w:r>
          </w:p>
        </w:tc>
      </w:tr>
      <w:tr>
        <w:tc>
          <w:tcPr>
            <w:tcW w:type="dxa" w:w="2268"/>
            <w:shd w:fill="F2F6FA" w:val="clear"/>
          </w:tcPr>
          <w:p>
            <w:r>
              <w:rPr>
                <w:rFonts w:ascii="Calibri" w:hAnsi="Calibri"/>
                <w:b w:val="0"/>
                <w:color w:val="333333"/>
                <w:sz w:val="18"/>
              </w:rPr>
              <w:t>Guard</w:t>
            </w:r>
          </w:p>
        </w:tc>
        <w:tc>
          <w:tcPr>
            <w:tcW w:type="dxa" w:w="7370"/>
            <w:shd w:fill="F2F6FA" w:val="clear"/>
          </w:tcPr>
          <w:p>
            <w:r>
              <w:rPr>
                <w:rFonts w:ascii="Calibri" w:hAnsi="Calibri"/>
                <w:b w:val="0"/>
                <w:color w:val="333333"/>
                <w:sz w:val="18"/>
              </w:rPr>
              <w:t>NXR_REQUIRE_TIMESCALE=1 — without the extension the historian works, never compresses and never expires anything, so the disk fills silently</w:t>
            </w:r>
          </w:p>
        </w:tc>
      </w:tr>
    </w:tbl>
    <w:p/>
    <w:p>
      <w:pPr>
        <w:pStyle w:val="Heading2"/>
      </w:pPr>
      <w:r>
        <w:rPr>
          <w:rFonts w:ascii="Calibri" w:hAnsi="Calibri"/>
          <w:color w:val="1B2A4A"/>
        </w:rPr>
        <w:t>5.3 ElastiCache Redis 7</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Parameter</w:t>
            </w:r>
          </w:p>
        </w:tc>
        <w:tc>
          <w:tcPr>
            <w:tcW w:type="dxa" w:w="7370"/>
            <w:shd w:fill="1B2A4A" w:val="clear"/>
          </w:tcPr>
          <w:p>
            <w:r>
              <w:rPr>
                <w:rFonts w:ascii="Calibri" w:hAnsi="Calibri"/>
                <w:b/>
                <w:color w:val="FFFFFF"/>
                <w:sz w:val="20"/>
              </w:rPr>
              <w:t>Value</w:t>
            </w:r>
          </w:p>
        </w:tc>
      </w:tr>
      <w:tr>
        <w:tc>
          <w:tcPr>
            <w:tcW w:type="dxa" w:w="2268"/>
            <w:shd w:fill="F2F6FA" w:val="clear"/>
          </w:tcPr>
          <w:p>
            <w:r>
              <w:rPr>
                <w:rFonts w:ascii="Calibri" w:hAnsi="Calibri"/>
                <w:b w:val="0"/>
                <w:color w:val="333333"/>
                <w:sz w:val="18"/>
              </w:rPr>
              <w:t>Engine</w:t>
            </w:r>
          </w:p>
        </w:tc>
        <w:tc>
          <w:tcPr>
            <w:tcW w:type="dxa" w:w="7370"/>
            <w:shd w:fill="F2F6FA" w:val="clear"/>
          </w:tcPr>
          <w:p>
            <w:r>
              <w:rPr>
                <w:rFonts w:ascii="Calibri" w:hAnsi="Calibri"/>
                <w:b w:val="0"/>
                <w:color w:val="333333"/>
                <w:sz w:val="18"/>
              </w:rPr>
              <w:t>Redis 7.x (OSS), Multi-AZ</w:t>
            </w:r>
          </w:p>
        </w:tc>
      </w:tr>
      <w:tr>
        <w:tc>
          <w:tcPr>
            <w:tcW w:type="dxa" w:w="2268"/>
          </w:tcPr>
          <w:p>
            <w:r>
              <w:rPr>
                <w:rFonts w:ascii="Calibri" w:hAnsi="Calibri"/>
                <w:b w:val="0"/>
                <w:color w:val="333333"/>
                <w:sz w:val="18"/>
              </w:rPr>
              <w:t>Node Type</w:t>
            </w:r>
          </w:p>
        </w:tc>
        <w:tc>
          <w:tcPr>
            <w:tcW w:type="dxa" w:w="7370"/>
          </w:tcPr>
          <w:p>
            <w:r>
              <w:rPr>
                <w:rFonts w:ascii="Calibri" w:hAnsi="Calibri"/>
                <w:b w:val="0"/>
                <w:color w:val="333333"/>
                <w:sz w:val="18"/>
              </w:rPr>
              <w:t>cache.t4g.micro (dev), cache.t4g.small (prod)</w:t>
            </w:r>
          </w:p>
        </w:tc>
      </w:tr>
      <w:tr>
        <w:tc>
          <w:tcPr>
            <w:tcW w:type="dxa" w:w="2268"/>
            <w:shd w:fill="F2F6FA" w:val="clear"/>
          </w:tcPr>
          <w:p>
            <w:r>
              <w:rPr>
                <w:rFonts w:ascii="Calibri" w:hAnsi="Calibri"/>
                <w:b w:val="0"/>
                <w:color w:val="333333"/>
                <w:sz w:val="18"/>
              </w:rPr>
              <w:t>Use Cases</w:t>
            </w:r>
          </w:p>
        </w:tc>
        <w:tc>
          <w:tcPr>
            <w:tcW w:type="dxa" w:w="7370"/>
            <w:shd w:fill="F2F6FA" w:val="clear"/>
          </w:tcPr>
          <w:p>
            <w:r>
              <w:rPr>
                <w:rFonts w:ascii="Calibri" w:hAnsi="Calibri"/>
                <w:b w:val="0"/>
                <w:color w:val="333333"/>
                <w:sz w:val="18"/>
              </w:rPr>
              <w:t>Per-tenant event streams (nxr:events:&lt;tenant_id&gt;), twin ownership leases, per-tenant command queues, connector ownership leases</w:t>
            </w:r>
          </w:p>
        </w:tc>
      </w:tr>
      <w:tr>
        <w:tc>
          <w:tcPr>
            <w:tcW w:type="dxa" w:w="2268"/>
          </w:tcPr>
          <w:p>
            <w:r>
              <w:rPr>
                <w:rFonts w:ascii="Calibri" w:hAnsi="Calibri"/>
                <w:b w:val="0"/>
                <w:color w:val="333333"/>
                <w:sz w:val="18"/>
              </w:rPr>
              <w:t>Encryption</w:t>
            </w:r>
          </w:p>
        </w:tc>
        <w:tc>
          <w:tcPr>
            <w:tcW w:type="dxa" w:w="7370"/>
          </w:tcPr>
          <w:p>
            <w:r>
              <w:rPr>
                <w:rFonts w:ascii="Calibri" w:hAnsi="Calibri"/>
                <w:b w:val="0"/>
                <w:color w:val="333333"/>
                <w:sz w:val="18"/>
              </w:rPr>
              <w:t>TLS in transit</w:t>
            </w:r>
          </w:p>
        </w:tc>
      </w:tr>
      <w:tr>
        <w:tc>
          <w:tcPr>
            <w:tcW w:type="dxa" w:w="2268"/>
            <w:shd w:fill="F2F6FA" w:val="clear"/>
          </w:tcPr>
          <w:p>
            <w:r>
              <w:rPr>
                <w:rFonts w:ascii="Calibri" w:hAnsi="Calibri"/>
                <w:b w:val="0"/>
                <w:color w:val="333333"/>
                <w:sz w:val="18"/>
              </w:rPr>
              <w:t>Guard</w:t>
            </w:r>
          </w:p>
        </w:tc>
        <w:tc>
          <w:tcPr>
            <w:tcW w:type="dxa" w:w="7370"/>
            <w:shd w:fill="F2F6FA" w:val="clear"/>
          </w:tcPr>
          <w:p>
            <w:r>
              <w:rPr>
                <w:rFonts w:ascii="Calibri" w:hAnsi="Calibri"/>
                <w:b w:val="0"/>
                <w:color w:val="333333"/>
                <w:sz w:val="18"/>
              </w:rPr>
              <w:t>NXR_REQUIRE_REDIS=1 — without Redis every task believes it owns every twin, which duplicates every finding and every change-log event</w:t>
            </w:r>
          </w:p>
        </w:tc>
      </w:tr>
    </w:tbl>
    <w:p/>
    <w:p>
      <w:pPr>
        <w:pStyle w:val="Heading2"/>
      </w:pPr>
      <w:r>
        <w:rPr>
          <w:rFonts w:ascii="Calibri" w:hAnsi="Calibri"/>
          <w:color w:val="1B2A4A"/>
        </w:rPr>
        <w:t>5.4 S3 Bucket</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Parameter</w:t>
            </w:r>
          </w:p>
        </w:tc>
        <w:tc>
          <w:tcPr>
            <w:tcW w:type="dxa" w:w="7370"/>
            <w:shd w:fill="1B2A4A" w:val="clear"/>
          </w:tcPr>
          <w:p>
            <w:r>
              <w:rPr>
                <w:rFonts w:ascii="Calibri" w:hAnsi="Calibri"/>
                <w:b/>
                <w:color w:val="FFFFFF"/>
                <w:sz w:val="20"/>
              </w:rPr>
              <w:t>Value</w:t>
            </w:r>
          </w:p>
        </w:tc>
      </w:tr>
      <w:tr>
        <w:tc>
          <w:tcPr>
            <w:tcW w:type="dxa" w:w="2268"/>
            <w:shd w:fill="F2F6FA" w:val="clear"/>
          </w:tcPr>
          <w:p>
            <w:r>
              <w:rPr>
                <w:rFonts w:ascii="Calibri" w:hAnsi="Calibri"/>
                <w:b w:val="0"/>
                <w:color w:val="333333"/>
                <w:sz w:val="18"/>
              </w:rPr>
              <w:t>Bucket</w:t>
            </w:r>
          </w:p>
        </w:tc>
        <w:tc>
          <w:tcPr>
            <w:tcW w:type="dxa" w:w="7370"/>
            <w:shd w:fill="F2F6FA" w:val="clear"/>
          </w:tcPr>
          <w:p>
            <w:r>
              <w:rPr>
                <w:rFonts w:ascii="Calibri" w:hAnsi="Calibri"/>
                <w:b w:val="0"/>
                <w:color w:val="333333"/>
                <w:sz w:val="18"/>
              </w:rPr>
              <w:t>nextxr-twin-blobs (NXR_S3_PREFIX separates environments)</w:t>
            </w:r>
          </w:p>
        </w:tc>
      </w:tr>
      <w:tr>
        <w:tc>
          <w:tcPr>
            <w:tcW w:type="dxa" w:w="2268"/>
          </w:tcPr>
          <w:p>
            <w:r>
              <w:rPr>
                <w:rFonts w:ascii="Calibri" w:hAnsi="Calibri"/>
                <w:b w:val="0"/>
                <w:color w:val="333333"/>
                <w:sz w:val="18"/>
              </w:rPr>
              <w:t>Key space</w:t>
            </w:r>
          </w:p>
        </w:tc>
        <w:tc>
          <w:tcPr>
            <w:tcW w:type="dxa" w:w="7370"/>
          </w:tcPr>
          <w:p>
            <w:r>
              <w:rPr>
                <w:rFonts w:ascii="Calibri" w:hAnsi="Calibri"/>
                <w:b w:val="0"/>
                <w:color w:val="333333"/>
                <w:sz w:val="18"/>
              </w:rPr>
              <w:t>&lt;prefix&gt;/threed/jobs/&lt;job_id&gt;/input/&lt;original&gt; and &lt;prefix&gt;/threed/jobs/&lt;job_id&gt;/artifacts/&lt;stage&gt;/model.glb</w:t>
            </w:r>
          </w:p>
        </w:tc>
      </w:tr>
      <w:tr>
        <w:tc>
          <w:tcPr>
            <w:tcW w:type="dxa" w:w="2268"/>
            <w:shd w:fill="F2F6FA" w:val="clear"/>
          </w:tcPr>
          <w:p>
            <w:r>
              <w:rPr>
                <w:rFonts w:ascii="Calibri" w:hAnsi="Calibri"/>
                <w:b w:val="0"/>
                <w:color w:val="333333"/>
                <w:sz w:val="18"/>
              </w:rPr>
              <w:t>Access</w:t>
            </w:r>
          </w:p>
        </w:tc>
        <w:tc>
          <w:tcPr>
            <w:tcW w:type="dxa" w:w="7370"/>
            <w:shd w:fill="F2F6FA" w:val="clear"/>
          </w:tcPr>
          <w:p>
            <w:r>
              <w:rPr>
                <w:rFonts w:ascii="Calibri" w:hAnsi="Calibri"/>
                <w:b w:val="0"/>
                <w:color w:val="333333"/>
                <w:sz w:val="18"/>
              </w:rPr>
              <w:t>ECS task role: s3:GetObject, s3:PutObject, s3:DeleteObject on arn:aws:s3:::&lt;bucket&gt;/* and s3:ListBucket on the bucket. No access keys in the environment</w:t>
            </w:r>
          </w:p>
        </w:tc>
      </w:tr>
      <w:tr>
        <w:tc>
          <w:tcPr>
            <w:tcW w:type="dxa" w:w="2268"/>
          </w:tcPr>
          <w:p>
            <w:r>
              <w:rPr>
                <w:rFonts w:ascii="Calibri" w:hAnsi="Calibri"/>
                <w:b w:val="0"/>
                <w:color w:val="333333"/>
                <w:sz w:val="18"/>
              </w:rPr>
              <w:t>Public access</w:t>
            </w:r>
          </w:p>
        </w:tc>
        <w:tc>
          <w:tcPr>
            <w:tcW w:type="dxa" w:w="7370"/>
          </w:tcPr>
          <w:p>
            <w:r>
              <w:rPr>
                <w:rFonts w:ascii="Calibri" w:hAnsi="Calibri"/>
                <w:b w:val="0"/>
                <w:color w:val="333333"/>
                <w:sz w:val="18"/>
              </w:rPr>
              <w:t>Block Public Access ON — presigned URLs still work</w:t>
            </w:r>
          </w:p>
        </w:tc>
      </w:tr>
      <w:tr>
        <w:tc>
          <w:tcPr>
            <w:tcW w:type="dxa" w:w="2268"/>
            <w:shd w:fill="F2F6FA" w:val="clear"/>
          </w:tcPr>
          <w:p>
            <w:r>
              <w:rPr>
                <w:rFonts w:ascii="Calibri" w:hAnsi="Calibri"/>
                <w:b w:val="0"/>
                <w:color w:val="333333"/>
                <w:sz w:val="18"/>
              </w:rPr>
              <w:t>Encryption</w:t>
            </w:r>
          </w:p>
        </w:tc>
        <w:tc>
          <w:tcPr>
            <w:tcW w:type="dxa" w:w="7370"/>
            <w:shd w:fill="F2F6FA" w:val="clear"/>
          </w:tcPr>
          <w:p>
            <w:r>
              <w:rPr>
                <w:rFonts w:ascii="Calibri" w:hAnsi="Calibri"/>
                <w:b w:val="0"/>
                <w:color w:val="333333"/>
                <w:sz w:val="18"/>
              </w:rPr>
              <w:t>Default SSE-S3 (AES-256); versioning optional</w:t>
            </w:r>
          </w:p>
        </w:tc>
      </w:tr>
      <w:tr>
        <w:tc>
          <w:tcPr>
            <w:tcW w:type="dxa" w:w="2268"/>
          </w:tcPr>
          <w:p>
            <w:r>
              <w:rPr>
                <w:rFonts w:ascii="Calibri" w:hAnsi="Calibri"/>
                <w:b w:val="0"/>
                <w:color w:val="333333"/>
                <w:sz w:val="18"/>
              </w:rPr>
              <w:t>Lifecycle</w:t>
            </w:r>
          </w:p>
        </w:tc>
        <w:tc>
          <w:tcPr>
            <w:tcW w:type="dxa" w:w="7370"/>
          </w:tcPr>
          <w:p>
            <w:r>
              <w:rPr>
                <w:rFonts w:ascii="Calibri" w:hAnsi="Calibri"/>
                <w:b w:val="0"/>
                <w:color w:val="333333"/>
                <w:sz w:val="18"/>
              </w:rPr>
              <w:t>Expire threed/jobs/*/artifacts/ after 30–90 days — intermediate stage images are debugging aids, not product data</w:t>
            </w:r>
          </w:p>
        </w:tc>
      </w:tr>
      <w:tr>
        <w:tc>
          <w:tcPr>
            <w:tcW w:type="dxa" w:w="2268"/>
            <w:shd w:fill="F2F6FA" w:val="clear"/>
          </w:tcPr>
          <w:p>
            <w:r>
              <w:rPr>
                <w:rFonts w:ascii="Calibri" w:hAnsi="Calibri"/>
                <w:b w:val="0"/>
                <w:color w:val="333333"/>
                <w:sz w:val="18"/>
              </w:rPr>
              <w:t>Health probe</w:t>
            </w:r>
          </w:p>
        </w:tc>
        <w:tc>
          <w:tcPr>
            <w:tcW w:type="dxa" w:w="7370"/>
            <w:shd w:fill="F2F6FA" w:val="clear"/>
          </w:tcPr>
          <w:p>
            <w:r>
              <w:rPr>
                <w:rFonts w:ascii="Calibri" w:hAnsi="Calibri"/>
                <w:b w:val="0"/>
                <w:color w:val="333333"/>
                <w:sz w:val="18"/>
              </w:rPr>
              <w:t>GET /api/v1/health puts, reads back and deletes a probe object, because a bucket you can list but not write to is the usual IAM mistake and reads fine until the first upload</w:t>
            </w:r>
          </w:p>
        </w:tc>
      </w:tr>
      <w:tr>
        <w:tc>
          <w:tcPr>
            <w:tcW w:type="dxa" w:w="2268"/>
          </w:tcPr>
          <w:p>
            <w:r>
              <w:rPr>
                <w:rFonts w:ascii="Calibri" w:hAnsi="Calibri"/>
                <w:b w:val="0"/>
                <w:color w:val="333333"/>
                <w:sz w:val="18"/>
              </w:rPr>
              <w:t>Guard</w:t>
            </w:r>
          </w:p>
        </w:tc>
        <w:tc>
          <w:tcPr>
            <w:tcW w:type="dxa" w:w="7370"/>
          </w:tcPr>
          <w:p>
            <w:r>
              <w:rPr>
                <w:rFonts w:ascii="Calibri" w:hAnsi="Calibri"/>
                <w:b w:val="0"/>
                <w:color w:val="333333"/>
                <w:sz w:val="18"/>
              </w:rPr>
              <w:t>NXR_REQUIRE_S3=1 — without it, the task that ran a reconstruction has the GLB and every other task 404s a model the user just watched being generated</w:t>
            </w:r>
          </w:p>
        </w:tc>
      </w:tr>
    </w:tbl>
    <w:p/>
    <w:p>
      <w:pPr>
        <w:pStyle w:val="Heading2"/>
      </w:pPr>
      <w:r>
        <w:rPr>
          <w:rFonts w:ascii="Calibri" w:hAnsi="Calibri"/>
          <w:color w:val="1B2A4A"/>
        </w:rPr>
        <w:t>5.5 Neo4j and optional EFS</w:t>
      </w:r>
    </w:p>
    <w:p>
      <w:pPr>
        <w:pStyle w:val="ListBullet"/>
        <w:spacing w:after="40"/>
      </w:pPr>
      <w:r>
        <w:rPr>
          <w:rFonts w:ascii="Calibri" w:hAnsi="Calibri"/>
          <w:b w:val="0"/>
          <w:color w:val="333333"/>
          <w:sz w:val="20"/>
        </w:rPr>
        <w:t>Neo4j Aura is recommended (least operations): set NEO4J_URI to the neo4j+s:// endpoint and put NEO4J_PASSWORD in Secrets Manager. Neo4j on EC2/ECS with an EBS volume is the alternative — more control, more operations.</w:t>
      </w:r>
    </w:p>
    <w:p>
      <w:pPr>
        <w:pStyle w:val="ListBullet"/>
        <w:spacing w:after="40"/>
      </w:pPr>
      <w:r>
        <w:rPr>
          <w:rFonts w:ascii="Calibri" w:hAnsi="Calibri"/>
          <w:b w:val="0"/>
          <w:color w:val="333333"/>
          <w:sz w:val="20"/>
        </w:rPr>
        <w:t>Rotate off the local-development default password baked into graph/connection.py and docker-compose.yml.</w:t>
      </w:r>
    </w:p>
    <w:p>
      <w:pPr>
        <w:pStyle w:val="ListBullet"/>
        <w:spacing w:after="40"/>
      </w:pPr>
      <w:r>
        <w:rPr>
          <w:rFonts w:ascii="Calibri" w:hAnsi="Calibri"/>
          <w:b w:val="0"/>
          <w:color w:val="333333"/>
          <w:sz w:val="20"/>
        </w:rPr>
        <w:t>Reads degrade to empty and writes return 503 while Neo4j is unreachable. A deploy is not done while /api/v1/health reports degraded.</w:t>
      </w:r>
    </w:p>
    <w:p>
      <w:pPr>
        <w:pStyle w:val="ListBullet"/>
        <w:spacing w:after="40"/>
      </w:pPr>
      <w:r>
        <w:rPr>
          <w:rFonts w:ascii="Calibri" w:hAnsi="Calibri"/>
          <w:b w:val="0"/>
          <w:color w:val="333333"/>
          <w:sz w:val="20"/>
        </w:rPr>
        <w:t>EFS is optional once S3 is configured — nothing durable is left on the volume. Keep it only to let 3-D scratch survive a mid-job task replacement (the job does not resume anyway). If mounted, the access point must use uid/gid 10001 or the first write to /data fails.</w:t>
      </w:r>
    </w:p>
    <w:p>
      <w:r>
        <w:br w:type="page"/>
      </w:r>
    </w:p>
    <w:p>
      <w:pPr>
        <w:pStyle w:val="Heading1"/>
      </w:pPr>
      <w:r>
        <w:rPr>
          <w:rFonts w:ascii="Calibri" w:hAnsi="Calibri"/>
          <w:color w:val="1B2A4A"/>
        </w:rPr>
        <w:t>6. Security</w:t>
      </w:r>
    </w:p>
    <w:p>
      <w:pPr>
        <w:pStyle w:val="Heading2"/>
      </w:pPr>
      <w:r>
        <w:rPr>
          <w:rFonts w:ascii="Calibri" w:hAnsi="Calibri"/>
          <w:color w:val="1B2A4A"/>
        </w:rPr>
        <w:t>6.1 IAM Roles</w:t>
      </w:r>
    </w:p>
    <w:tbl>
      <w:tblPr>
        <w:tblW w:type="auto" w:w="0"/>
        <w:jc w:val="center"/>
        <w:tblLook w:firstColumn="1" w:firstRow="1" w:lastColumn="0" w:lastRow="0" w:noHBand="0" w:noVBand="1" w:val="04A0"/>
      </w:tblPr>
      <w:tblGrid>
        <w:gridCol w:w="4320"/>
        <w:gridCol w:w="4320"/>
      </w:tblGrid>
      <w:tr>
        <w:tc>
          <w:tcPr>
            <w:tcW w:type="dxa" w:w="2551"/>
            <w:shd w:fill="1B2A4A" w:val="clear"/>
          </w:tcPr>
          <w:p>
            <w:r>
              <w:rPr>
                <w:rFonts w:ascii="Calibri" w:hAnsi="Calibri"/>
                <w:b/>
                <w:color w:val="FFFFFF"/>
                <w:sz w:val="20"/>
              </w:rPr>
              <w:t>Role</w:t>
            </w:r>
          </w:p>
        </w:tc>
        <w:tc>
          <w:tcPr>
            <w:tcW w:type="dxa" w:w="7087"/>
            <w:shd w:fill="1B2A4A" w:val="clear"/>
          </w:tcPr>
          <w:p>
            <w:r>
              <w:rPr>
                <w:rFonts w:ascii="Calibri" w:hAnsi="Calibri"/>
                <w:b/>
                <w:color w:val="FFFFFF"/>
                <w:sz w:val="20"/>
              </w:rPr>
              <w:t>Permissions</w:t>
            </w:r>
          </w:p>
        </w:tc>
      </w:tr>
      <w:tr>
        <w:tc>
          <w:tcPr>
            <w:tcW w:type="dxa" w:w="2551"/>
            <w:shd w:fill="F2F6FA" w:val="clear"/>
          </w:tcPr>
          <w:p>
            <w:r>
              <w:rPr>
                <w:rFonts w:ascii="Calibri" w:hAnsi="Calibri"/>
                <w:b w:val="0"/>
                <w:color w:val="333333"/>
                <w:sz w:val="18"/>
              </w:rPr>
              <w:t>ECS Task Execution Role</w:t>
            </w:r>
          </w:p>
        </w:tc>
        <w:tc>
          <w:tcPr>
            <w:tcW w:type="dxa" w:w="7087"/>
            <w:shd w:fill="F2F6FA" w:val="clear"/>
          </w:tcPr>
          <w:p>
            <w:r>
              <w:rPr>
                <w:rFonts w:ascii="Calibri" w:hAnsi="Calibri"/>
                <w:b w:val="0"/>
                <w:color w:val="333333"/>
                <w:sz w:val="18"/>
              </w:rPr>
              <w:t>ecr:GetAuthorizationToken, ecr:BatchGetImage, ecr:GetDownloadUrlForLayer, logs:CreateLogStream, logs:PutLogEvents, secretsmanager:GetSecretValue, ssm:GetParameters</w:t>
            </w:r>
          </w:p>
        </w:tc>
      </w:tr>
      <w:tr>
        <w:tc>
          <w:tcPr>
            <w:tcW w:type="dxa" w:w="2551"/>
          </w:tcPr>
          <w:p>
            <w:r>
              <w:rPr>
                <w:rFonts w:ascii="Calibri" w:hAnsi="Calibri"/>
                <w:b w:val="0"/>
                <w:color w:val="333333"/>
                <w:sz w:val="18"/>
              </w:rPr>
              <w:t>ECS Task Role</w:t>
            </w:r>
          </w:p>
        </w:tc>
        <w:tc>
          <w:tcPr>
            <w:tcW w:type="dxa" w:w="7087"/>
          </w:tcPr>
          <w:p>
            <w:r>
              <w:rPr>
                <w:rFonts w:ascii="Calibri" w:hAnsi="Calibri"/>
                <w:b w:val="0"/>
                <w:color w:val="333333"/>
                <w:sz w:val="18"/>
              </w:rPr>
              <w:t>s3:GetObject, s3:PutObject, s3:DeleteObject on arn:aws:s3:::&lt;bucket&gt;/*; s3:ListBucket on the bucket. Optionally rds-db:connect for RDS IAM authentication</w:t>
            </w:r>
          </w:p>
        </w:tc>
      </w:tr>
      <w:tr>
        <w:tc>
          <w:tcPr>
            <w:tcW w:type="dxa" w:w="2551"/>
            <w:shd w:fill="F2F6FA" w:val="clear"/>
          </w:tcPr>
          <w:p>
            <w:r>
              <w:rPr>
                <w:rFonts w:ascii="Calibri" w:hAnsi="Calibri"/>
                <w:b w:val="0"/>
                <w:color w:val="333333"/>
                <w:sz w:val="18"/>
              </w:rPr>
              <w:t>CodeBuild Role</w:t>
            </w:r>
          </w:p>
        </w:tc>
        <w:tc>
          <w:tcPr>
            <w:tcW w:type="dxa" w:w="7087"/>
            <w:shd w:fill="F2F6FA" w:val="clear"/>
          </w:tcPr>
          <w:p>
            <w:r>
              <w:rPr>
                <w:rFonts w:ascii="Calibri" w:hAnsi="Calibri"/>
                <w:b w:val="0"/>
                <w:color w:val="333333"/>
                <w:sz w:val="18"/>
              </w:rPr>
              <w:t>ecr:PutImage, ecr:BatchCheckLayerAvailability, s3:GetObject, logs:*</w:t>
            </w:r>
          </w:p>
        </w:tc>
      </w:tr>
      <w:tr>
        <w:tc>
          <w:tcPr>
            <w:tcW w:type="dxa" w:w="2551"/>
          </w:tcPr>
          <w:p>
            <w:r>
              <w:rPr>
                <w:rFonts w:ascii="Calibri" w:hAnsi="Calibri"/>
                <w:b w:val="0"/>
                <w:color w:val="333333"/>
                <w:sz w:val="18"/>
              </w:rPr>
              <w:t>Deployment Role</w:t>
            </w:r>
          </w:p>
        </w:tc>
        <w:tc>
          <w:tcPr>
            <w:tcW w:type="dxa" w:w="7087"/>
          </w:tcPr>
          <w:p>
            <w:r>
              <w:rPr>
                <w:rFonts w:ascii="Calibri" w:hAnsi="Calibri"/>
                <w:b w:val="0"/>
                <w:color w:val="333333"/>
                <w:sz w:val="18"/>
              </w:rPr>
              <w:t>ecs:RegisterTaskDefinition, ecs:UpdateService, iam:PassRole (scoped to the two task roles)</w:t>
            </w:r>
          </w:p>
        </w:tc>
      </w:tr>
    </w:tbl>
    <w:p/>
    <w:p>
      <w:pPr>
        <w:pStyle w:val="Heading2"/>
      </w:pPr>
      <w:r>
        <w:rPr>
          <w:rFonts w:ascii="Calibri" w:hAnsi="Calibri"/>
          <w:color w:val="1B2A4A"/>
        </w:rPr>
        <w:t>6.2 Secrets Manager</w:t>
      </w:r>
    </w:p>
    <w:p>
      <w:pPr>
        <w:spacing w:after="120"/>
      </w:pPr>
      <w:r>
        <w:rPr>
          <w:rFonts w:ascii="Calibri" w:hAnsi="Calibri"/>
          <w:b w:val="0"/>
          <w:color w:val="333333"/>
          <w:sz w:val="22"/>
        </w:rPr>
        <w:t>All sensitive configuration is injected through the task definition's secrets: block — never in environment:, where it shows in the console and in describe-task-definition, and never baked into the image (.dockerignore already excludes .env files).</w:t>
      </w:r>
    </w:p>
    <w:tbl>
      <w:tblPr>
        <w:tblW w:type="auto" w:w="0"/>
        <w:jc w:val="center"/>
        <w:tblLook w:firstColumn="1" w:firstRow="1" w:lastColumn="0" w:lastRow="0" w:noHBand="0" w:noVBand="1" w:val="04A0"/>
      </w:tblPr>
      <w:tblGrid>
        <w:gridCol w:w="4320"/>
        <w:gridCol w:w="4320"/>
      </w:tblGrid>
      <w:tr>
        <w:tc>
          <w:tcPr>
            <w:tcW w:type="dxa" w:w="2835"/>
            <w:shd w:fill="1B2A4A" w:val="clear"/>
          </w:tcPr>
          <w:p>
            <w:r>
              <w:rPr>
                <w:rFonts w:ascii="Calibri" w:hAnsi="Calibri"/>
                <w:b/>
                <w:color w:val="FFFFFF"/>
                <w:sz w:val="20"/>
              </w:rPr>
              <w:t>Secret Name</w:t>
            </w:r>
          </w:p>
        </w:tc>
        <w:tc>
          <w:tcPr>
            <w:tcW w:type="dxa" w:w="6803"/>
            <w:shd w:fill="1B2A4A" w:val="clear"/>
          </w:tcPr>
          <w:p>
            <w:r>
              <w:rPr>
                <w:rFonts w:ascii="Calibri" w:hAnsi="Calibri"/>
                <w:b/>
                <w:color w:val="FFFFFF"/>
                <w:sz w:val="20"/>
              </w:rPr>
              <w:t>Description</w:t>
            </w:r>
          </w:p>
        </w:tc>
      </w:tr>
      <w:tr>
        <w:tc>
          <w:tcPr>
            <w:tcW w:type="dxa" w:w="2835"/>
            <w:shd w:fill="F2F6FA" w:val="clear"/>
          </w:tcPr>
          <w:p>
            <w:r>
              <w:rPr>
                <w:rFonts w:ascii="Calibri" w:hAnsi="Calibri"/>
                <w:b w:val="0"/>
                <w:color w:val="333333"/>
                <w:sz w:val="18"/>
              </w:rPr>
              <w:t>nextxr/database-url</w:t>
            </w:r>
          </w:p>
        </w:tc>
        <w:tc>
          <w:tcPr>
            <w:tcW w:type="dxa" w:w="6803"/>
            <w:shd w:fill="F2F6FA" w:val="clear"/>
          </w:tcPr>
          <w:p>
            <w:r>
              <w:rPr>
                <w:rFonts w:ascii="Calibri" w:hAnsi="Calibri"/>
                <w:b w:val="0"/>
                <w:color w:val="333333"/>
                <w:sz w:val="18"/>
              </w:rPr>
              <w:t>PostgreSQL connection string — a secret because it embeds the password. Alternatively use RDS IAM authentication, or store only the password and assemble the URL in an entrypoint</w:t>
            </w:r>
          </w:p>
        </w:tc>
      </w:tr>
      <w:tr>
        <w:tc>
          <w:tcPr>
            <w:tcW w:type="dxa" w:w="2835"/>
          </w:tcPr>
          <w:p>
            <w:r>
              <w:rPr>
                <w:rFonts w:ascii="Calibri" w:hAnsi="Calibri"/>
                <w:b w:val="0"/>
                <w:color w:val="333333"/>
                <w:sz w:val="18"/>
              </w:rPr>
              <w:t>nextxr/api-keys</w:t>
            </w:r>
          </w:p>
        </w:tc>
        <w:tc>
          <w:tcPr>
            <w:tcW w:type="dxa" w:w="6803"/>
          </w:tcPr>
          <w:p>
            <w:r>
              <w:rPr>
                <w:rFonts w:ascii="Calibri" w:hAnsi="Calibri"/>
                <w:b w:val="0"/>
                <w:color w:val="333333"/>
                <w:sz w:val="18"/>
              </w:rPr>
              <w:t>NXR_API_KEYS — the JSON array of {key, tenant, role, name} that closes the fail-open hole</w:t>
            </w:r>
          </w:p>
        </w:tc>
      </w:tr>
      <w:tr>
        <w:tc>
          <w:tcPr>
            <w:tcW w:type="dxa" w:w="2835"/>
            <w:shd w:fill="F2F6FA" w:val="clear"/>
          </w:tcPr>
          <w:p>
            <w:r>
              <w:rPr>
                <w:rFonts w:ascii="Calibri" w:hAnsi="Calibri"/>
                <w:b w:val="0"/>
                <w:color w:val="333333"/>
                <w:sz w:val="18"/>
              </w:rPr>
              <w:t>nextxr/neo4j-password</w:t>
            </w:r>
          </w:p>
        </w:tc>
        <w:tc>
          <w:tcPr>
            <w:tcW w:type="dxa" w:w="6803"/>
            <w:shd w:fill="F2F6FA" w:val="clear"/>
          </w:tcPr>
          <w:p>
            <w:r>
              <w:rPr>
                <w:rFonts w:ascii="Calibri" w:hAnsi="Calibri"/>
                <w:b w:val="0"/>
                <w:color w:val="333333"/>
                <w:sz w:val="18"/>
              </w:rPr>
              <w:t>Neo4j Aura password</w:t>
            </w:r>
          </w:p>
        </w:tc>
      </w:tr>
      <w:tr>
        <w:tc>
          <w:tcPr>
            <w:tcW w:type="dxa" w:w="2835"/>
          </w:tcPr>
          <w:p>
            <w:r>
              <w:rPr>
                <w:rFonts w:ascii="Calibri" w:hAnsi="Calibri"/>
                <w:b w:val="0"/>
                <w:color w:val="333333"/>
                <w:sz w:val="18"/>
              </w:rPr>
              <w:t>nextxr/anthropic-api-key</w:t>
            </w:r>
          </w:p>
        </w:tc>
        <w:tc>
          <w:tcPr>
            <w:tcW w:type="dxa" w:w="6803"/>
          </w:tcPr>
          <w:p>
            <w:r>
              <w:rPr>
                <w:rFonts w:ascii="Calibri" w:hAnsi="Calibri"/>
                <w:b w:val="0"/>
                <w:color w:val="333333"/>
                <w:sz w:val="18"/>
              </w:rPr>
              <w:t>Claude API key for the copilot layer</w:t>
            </w:r>
          </w:p>
        </w:tc>
      </w:tr>
      <w:tr>
        <w:tc>
          <w:tcPr>
            <w:tcW w:type="dxa" w:w="2835"/>
            <w:shd w:fill="F2F6FA" w:val="clear"/>
          </w:tcPr>
          <w:p>
            <w:r>
              <w:rPr>
                <w:rFonts w:ascii="Calibri" w:hAnsi="Calibri"/>
                <w:b w:val="0"/>
                <w:color w:val="333333"/>
                <w:sz w:val="18"/>
              </w:rPr>
              <w:t>nextxr/runpod-api-key</w:t>
            </w:r>
          </w:p>
        </w:tc>
        <w:tc>
          <w:tcPr>
            <w:tcW w:type="dxa" w:w="6803"/>
            <w:shd w:fill="F2F6FA" w:val="clear"/>
          </w:tcPr>
          <w:p>
            <w:r>
              <w:rPr>
                <w:rFonts w:ascii="Calibri" w:hAnsi="Calibri"/>
                <w:b w:val="0"/>
                <w:color w:val="333333"/>
                <w:sz w:val="18"/>
              </w:rPr>
              <w:t>RunPod API key for GPU reconstruction</w:t>
            </w:r>
          </w:p>
        </w:tc>
      </w:tr>
      <w:tr>
        <w:tc>
          <w:tcPr>
            <w:tcW w:type="dxa" w:w="2835"/>
          </w:tcPr>
          <w:p>
            <w:r>
              <w:rPr>
                <w:rFonts w:ascii="Calibri" w:hAnsi="Calibri"/>
                <w:b w:val="0"/>
                <w:color w:val="333333"/>
                <w:sz w:val="18"/>
              </w:rPr>
              <w:t>nextxr/runpod-endpoint-id</w:t>
            </w:r>
          </w:p>
        </w:tc>
        <w:tc>
          <w:tcPr>
            <w:tcW w:type="dxa" w:w="6803"/>
          </w:tcPr>
          <w:p>
            <w:r>
              <w:rPr>
                <w:rFonts w:ascii="Calibri" w:hAnsi="Calibri"/>
                <w:b w:val="0"/>
                <w:color w:val="333333"/>
                <w:sz w:val="18"/>
              </w:rPr>
              <w:t>RunPod serverless endpoint id</w:t>
            </w:r>
          </w:p>
        </w:tc>
      </w:tr>
      <w:tr>
        <w:tc>
          <w:tcPr>
            <w:tcW w:type="dxa" w:w="2835"/>
            <w:shd w:fill="F2F6FA" w:val="clear"/>
          </w:tcPr>
          <w:p>
            <w:r>
              <w:rPr>
                <w:rFonts w:ascii="Calibri" w:hAnsi="Calibri"/>
                <w:b w:val="0"/>
                <w:color w:val="333333"/>
                <w:sz w:val="18"/>
              </w:rPr>
              <w:t>nextxr/replicate-api-token</w:t>
            </w:r>
          </w:p>
        </w:tc>
        <w:tc>
          <w:tcPr>
            <w:tcW w:type="dxa" w:w="6803"/>
            <w:shd w:fill="F2F6FA" w:val="clear"/>
          </w:tcPr>
          <w:p>
            <w:r>
              <w:rPr>
                <w:rFonts w:ascii="Calibri" w:hAnsi="Calibri"/>
                <w:b w:val="0"/>
                <w:color w:val="333333"/>
                <w:sz w:val="18"/>
              </w:rPr>
              <w:t>Optional alternative reconstruction backend</w:t>
            </w:r>
          </w:p>
        </w:tc>
      </w:tr>
    </w:tbl>
    <w:p/>
    <w:p>
      <w:pPr>
        <w:pStyle w:val="Heading2"/>
      </w:pPr>
      <w:r>
        <w:rPr>
          <w:rFonts w:ascii="Calibri" w:hAnsi="Calibri"/>
          <w:color w:val="1B2A4A"/>
        </w:rPr>
        <w:t>6.3 Security Posture Checklist</w:t>
      </w:r>
    </w:p>
    <w:tbl>
      <w:tblPr>
        <w:tblW w:type="auto" w:w="0"/>
        <w:jc w:val="center"/>
        <w:tblLook w:firstColumn="1" w:firstRow="1" w:lastColumn="0" w:lastRow="0" w:noHBand="0" w:noVBand="1" w:val="04A0"/>
      </w:tblPr>
      <w:tblGrid>
        <w:gridCol w:w="4320"/>
        <w:gridCol w:w="4320"/>
      </w:tblGrid>
      <w:tr>
        <w:tc>
          <w:tcPr>
            <w:tcW w:type="dxa" w:w="2551"/>
            <w:shd w:fill="1B2A4A" w:val="clear"/>
          </w:tcPr>
          <w:p>
            <w:r>
              <w:rPr>
                <w:rFonts w:ascii="Calibri" w:hAnsi="Calibri"/>
                <w:b/>
                <w:color w:val="FFFFFF"/>
                <w:sz w:val="20"/>
              </w:rPr>
              <w:t>Control</w:t>
            </w:r>
          </w:p>
        </w:tc>
        <w:tc>
          <w:tcPr>
            <w:tcW w:type="dxa" w:w="7087"/>
            <w:shd w:fill="1B2A4A" w:val="clear"/>
          </w:tcPr>
          <w:p>
            <w:r>
              <w:rPr>
                <w:rFonts w:ascii="Calibri" w:hAnsi="Calibri"/>
                <w:b/>
                <w:color w:val="FFFFFF"/>
                <w:sz w:val="20"/>
              </w:rPr>
              <w:t>Detail</w:t>
            </w:r>
          </w:p>
        </w:tc>
      </w:tr>
      <w:tr>
        <w:tc>
          <w:tcPr>
            <w:tcW w:type="dxa" w:w="2551"/>
            <w:shd w:fill="F2F6FA" w:val="clear"/>
          </w:tcPr>
          <w:p>
            <w:r>
              <w:rPr>
                <w:rFonts w:ascii="Calibri" w:hAnsi="Calibri"/>
                <w:b w:val="0"/>
                <w:color w:val="333333"/>
                <w:sz w:val="18"/>
              </w:rPr>
              <w:t>API keys mandatory</w:t>
            </w:r>
          </w:p>
        </w:tc>
        <w:tc>
          <w:tcPr>
            <w:tcW w:type="dxa" w:w="7087"/>
            <w:shd w:fill="F2F6FA" w:val="clear"/>
          </w:tcPr>
          <w:p>
            <w:r>
              <w:rPr>
                <w:rFonts w:ascii="Calibri" w:hAnsi="Calibri"/>
                <w:b w:val="0"/>
                <w:color w:val="333333"/>
                <w:sz w:val="18"/>
              </w:rPr>
              <w:t>With NXR_API_KEYS unset the service is OPEN — every /api call, including the LLM-billing copilot endpoints, is served without a key. Set the keys and NXR_REQUIRE_AUTH=1</w:t>
            </w:r>
          </w:p>
        </w:tc>
      </w:tr>
      <w:tr>
        <w:tc>
          <w:tcPr>
            <w:tcW w:type="dxa" w:w="2551"/>
          </w:tcPr>
          <w:p>
            <w:r>
              <w:rPr>
                <w:rFonts w:ascii="Calibri" w:hAnsi="Calibri"/>
                <w:b w:val="0"/>
                <w:color w:val="333333"/>
                <w:sz w:val="18"/>
              </w:rPr>
              <w:t>Demo keys never in production</w:t>
            </w:r>
          </w:p>
        </w:tc>
        <w:tc>
          <w:tcPr>
            <w:tcW w:type="dxa" w:w="7087"/>
          </w:tcPr>
          <w:p>
            <w:r>
              <w:rPr>
                <w:rFonts w:ascii="Calibri" w:hAnsi="Calibri"/>
                <w:b w:val="0"/>
                <w:color w:val="333333"/>
                <w:sz w:val="18"/>
              </w:rPr>
              <w:t>The built-in demo keys load only when NXR_API_KEYS is unset, i.e. never in a correctly-configured deployment</w:t>
            </w:r>
          </w:p>
        </w:tc>
      </w:tr>
      <w:tr>
        <w:tc>
          <w:tcPr>
            <w:tcW w:type="dxa" w:w="2551"/>
            <w:shd w:fill="F2F6FA" w:val="clear"/>
          </w:tcPr>
          <w:p>
            <w:r>
              <w:rPr>
                <w:rFonts w:ascii="Calibri" w:hAnsi="Calibri"/>
                <w:b w:val="0"/>
                <w:color w:val="333333"/>
                <w:sz w:val="18"/>
              </w:rPr>
              <w:t>Tenant isolation</w:t>
            </w:r>
          </w:p>
        </w:tc>
        <w:tc>
          <w:tcPr>
            <w:tcW w:type="dxa" w:w="7087"/>
            <w:shd w:fill="F2F6FA" w:val="clear"/>
          </w:tcPr>
          <w:p>
            <w:r>
              <w:rPr>
                <w:rFonts w:ascii="Calibri" w:hAnsi="Calibri"/>
                <w:b w:val="0"/>
                <w:color w:val="333333"/>
                <w:sz w:val="18"/>
              </w:rPr>
              <w:t>A single application-level dependency checks the tenant in query, path and body on every /api route; covered by a dedicated 25-test module</w:t>
            </w:r>
          </w:p>
        </w:tc>
      </w:tr>
      <w:tr>
        <w:tc>
          <w:tcPr>
            <w:tcW w:type="dxa" w:w="2551"/>
          </w:tcPr>
          <w:p>
            <w:r>
              <w:rPr>
                <w:rFonts w:ascii="Calibri" w:hAnsi="Calibri"/>
                <w:b w:val="0"/>
                <w:color w:val="333333"/>
                <w:sz w:val="18"/>
              </w:rPr>
              <w:t>Device credentials</w:t>
            </w:r>
          </w:p>
        </w:tc>
        <w:tc>
          <w:tcPr>
            <w:tcW w:type="dxa" w:w="7087"/>
          </w:tcPr>
          <w:p>
            <w:r>
              <w:rPr>
                <w:rFonts w:ascii="Calibri" w:hAnsi="Calibri"/>
                <w:b w:val="0"/>
                <w:color w:val="333333"/>
                <w:sz w:val="18"/>
              </w:rPr>
              <w:t>Telemetry devices use X-Device-Token, not API keys — one verb, one tenant, individually revocable, hash-only storage</w:t>
            </w:r>
          </w:p>
        </w:tc>
      </w:tr>
      <w:tr>
        <w:tc>
          <w:tcPr>
            <w:tcW w:type="dxa" w:w="2551"/>
            <w:shd w:fill="F2F6FA" w:val="clear"/>
          </w:tcPr>
          <w:p>
            <w:r>
              <w:rPr>
                <w:rFonts w:ascii="Calibri" w:hAnsi="Calibri"/>
                <w:b w:val="0"/>
                <w:color w:val="333333"/>
                <w:sz w:val="18"/>
              </w:rPr>
              <w:t>CORS</w:t>
            </w:r>
          </w:p>
        </w:tc>
        <w:tc>
          <w:tcPr>
            <w:tcW w:type="dxa" w:w="7087"/>
            <w:shd w:fill="F2F6FA" w:val="clear"/>
          </w:tcPr>
          <w:p>
            <w:r>
              <w:rPr>
                <w:rFonts w:ascii="Calibri" w:hAnsi="Calibri"/>
                <w:b w:val="0"/>
                <w:color w:val="333333"/>
                <w:sz w:val="18"/>
              </w:rPr>
              <w:t>Default is *; set NXR_CORS_ORIGINS to the real frontend and hub origins</w:t>
            </w:r>
          </w:p>
        </w:tc>
      </w:tr>
      <w:tr>
        <w:tc>
          <w:tcPr>
            <w:tcW w:type="dxa" w:w="2551"/>
          </w:tcPr>
          <w:p>
            <w:r>
              <w:rPr>
                <w:rFonts w:ascii="Calibri" w:hAnsi="Calibri"/>
                <w:b w:val="0"/>
                <w:color w:val="333333"/>
                <w:sz w:val="18"/>
              </w:rPr>
              <w:t>Database in transit</w:t>
            </w:r>
          </w:p>
        </w:tc>
        <w:tc>
          <w:tcPr>
            <w:tcW w:type="dxa" w:w="7087"/>
          </w:tcPr>
          <w:p>
            <w:r>
              <w:rPr>
                <w:rFonts w:ascii="Calibri" w:hAnsi="Calibri"/>
                <w:b w:val="0"/>
                <w:color w:val="333333"/>
                <w:sz w:val="18"/>
              </w:rPr>
              <w:t>sslmode=require — without it psycopg2 quietly accepts an unencrypted connection</w:t>
            </w:r>
          </w:p>
        </w:tc>
      </w:tr>
      <w:tr>
        <w:tc>
          <w:tcPr>
            <w:tcW w:type="dxa" w:w="2551"/>
            <w:shd w:fill="F2F6FA" w:val="clear"/>
          </w:tcPr>
          <w:p>
            <w:r>
              <w:rPr>
                <w:rFonts w:ascii="Calibri" w:hAnsi="Calibri"/>
                <w:b w:val="0"/>
                <w:color w:val="333333"/>
                <w:sz w:val="18"/>
              </w:rPr>
              <w:t>Database at rest</w:t>
            </w:r>
          </w:p>
        </w:tc>
        <w:tc>
          <w:tcPr>
            <w:tcW w:type="dxa" w:w="7087"/>
            <w:shd w:fill="F2F6FA" w:val="clear"/>
          </w:tcPr>
          <w:p>
            <w:r>
              <w:rPr>
                <w:rFonts w:ascii="Calibri" w:hAnsi="Calibri"/>
                <w:b w:val="0"/>
                <w:color w:val="333333"/>
                <w:sz w:val="18"/>
              </w:rPr>
              <w:t>Private/isolated subnets, security group open to the task SG only, KMS encryption, password rotated through Secrets Manager or replaced by IAM auth</w:t>
            </w:r>
          </w:p>
        </w:tc>
      </w:tr>
      <w:tr>
        <w:tc>
          <w:tcPr>
            <w:tcW w:type="dxa" w:w="2551"/>
          </w:tcPr>
          <w:p>
            <w:r>
              <w:rPr>
                <w:rFonts w:ascii="Calibri" w:hAnsi="Calibri"/>
                <w:b w:val="0"/>
                <w:color w:val="333333"/>
                <w:sz w:val="18"/>
              </w:rPr>
              <w:t>S3</w:t>
            </w:r>
          </w:p>
        </w:tc>
        <w:tc>
          <w:tcPr>
            <w:tcW w:type="dxa" w:w="7087"/>
          </w:tcPr>
          <w:p>
            <w:r>
              <w:rPr>
                <w:rFonts w:ascii="Calibri" w:hAnsi="Calibri"/>
                <w:b w:val="0"/>
                <w:color w:val="333333"/>
                <w:sz w:val="18"/>
              </w:rPr>
              <w:t>Block Public Access ON; task-role object access scoped to one bucket</w:t>
            </w:r>
          </w:p>
        </w:tc>
      </w:tr>
      <w:tr>
        <w:tc>
          <w:tcPr>
            <w:tcW w:type="dxa" w:w="2551"/>
            <w:shd w:fill="F2F6FA" w:val="clear"/>
          </w:tcPr>
          <w:p>
            <w:r>
              <w:rPr>
                <w:rFonts w:ascii="Calibri" w:hAnsi="Calibri"/>
                <w:b w:val="0"/>
                <w:color w:val="333333"/>
                <w:sz w:val="18"/>
              </w:rPr>
              <w:t>Health alarm</w:t>
            </w:r>
          </w:p>
        </w:tc>
        <w:tc>
          <w:tcPr>
            <w:tcW w:type="dxa" w:w="7087"/>
            <w:shd w:fill="F2F6FA" w:val="clear"/>
          </w:tcPr>
          <w:p>
            <w:r>
              <w:rPr>
                <w:rFonts w:ascii="Calibri" w:hAnsi="Calibri"/>
                <w:b w:val="0"/>
                <w:color w:val="333333"/>
                <w:sz w:val="18"/>
              </w:rPr>
              <w:t>The health check never 503s by design, so add a CloudWatch alarm on the payload's degraded status — it reports database, blobs, bus, historian and neo4j separately, so the alarm can say which</w:t>
            </w:r>
          </w:p>
        </w:tc>
      </w:tr>
      <w:tr>
        <w:tc>
          <w:tcPr>
            <w:tcW w:type="dxa" w:w="2551"/>
          </w:tcPr>
          <w:p>
            <w:r>
              <w:rPr>
                <w:rFonts w:ascii="Calibri" w:hAnsi="Calibri"/>
                <w:b w:val="0"/>
                <w:color w:val="333333"/>
                <w:sz w:val="18"/>
              </w:rPr>
              <w:t>Copilot spend</w:t>
            </w:r>
          </w:p>
        </w:tc>
        <w:tc>
          <w:tcPr>
            <w:tcW w:type="dxa" w:w="7087"/>
          </w:tcPr>
          <w:p>
            <w:r>
              <w:rPr>
                <w:rFonts w:ascii="Calibri" w:hAnsi="Calibri"/>
                <w:b w:val="0"/>
                <w:color w:val="333333"/>
                <w:sz w:val="18"/>
              </w:rPr>
              <w:t>Set a budget cap on any deployment reachable by people you do not control — copilot traffic bills to your key, and the cap is the only thing that bounds it</w:t>
            </w:r>
          </w:p>
        </w:tc>
      </w:tr>
    </w:tbl>
    <w:p>
      <w:r>
        <w:br w:type="page"/>
      </w:r>
    </w:p>
    <w:p>
      <w:pPr>
        <w:pStyle w:val="Heading1"/>
      </w:pPr>
      <w:r>
        <w:rPr>
          <w:rFonts w:ascii="Calibri" w:hAnsi="Calibri"/>
          <w:color w:val="1B2A4A"/>
        </w:rPr>
        <w:t>7. Cost Estimation</w:t>
      </w:r>
    </w:p>
    <w:p>
      <w:pPr>
        <w:spacing w:after="120"/>
      </w:pPr>
      <w:r>
        <w:rPr>
          <w:rFonts w:ascii="Calibri" w:hAnsi="Calibri"/>
          <w:b w:val="0"/>
          <w:color w:val="333333"/>
          <w:sz w:val="22"/>
        </w:rPr>
        <w:t>Indicative monthly figures, eu-west-1 on-demand pricing, excluding data-transfer spikes. Neo4j Aura and RunPod are billed outside AWS and shown separately.</w:t>
      </w:r>
    </w:p>
    <w:p>
      <w:pPr>
        <w:pStyle w:val="Heading2"/>
      </w:pPr>
      <w:r>
        <w:rPr>
          <w:rFonts w:ascii="Calibri" w:hAnsi="Calibri"/>
          <w:color w:val="1B2A4A"/>
        </w:rPr>
        <w:t>7.1 Development/Staging (~$118/month)</w:t>
      </w:r>
    </w:p>
    <w:tbl>
      <w:tblPr>
        <w:tblW w:type="auto" w:w="0"/>
        <w:jc w:val="center"/>
        <w:tblLook w:firstColumn="1" w:firstRow="1" w:lastColumn="0" w:lastRow="0" w:noHBand="0" w:noVBand="1" w:val="04A0"/>
      </w:tblPr>
      <w:tblGrid>
        <w:gridCol w:w="4320"/>
        <w:gridCol w:w="4320"/>
      </w:tblGrid>
      <w:tr>
        <w:tc>
          <w:tcPr>
            <w:tcW w:type="dxa" w:w="6236"/>
            <w:shd w:fill="1B2A4A" w:val="clear"/>
          </w:tcPr>
          <w:p>
            <w:r>
              <w:rPr>
                <w:rFonts w:ascii="Calibri" w:hAnsi="Calibri"/>
                <w:b/>
                <w:color w:val="FFFFFF"/>
                <w:sz w:val="20"/>
              </w:rPr>
              <w:t>Resource</w:t>
            </w:r>
          </w:p>
        </w:tc>
        <w:tc>
          <w:tcPr>
            <w:tcW w:type="dxa" w:w="3402"/>
            <w:shd w:fill="1B2A4A" w:val="clear"/>
          </w:tcPr>
          <w:p>
            <w:r>
              <w:rPr>
                <w:rFonts w:ascii="Calibri" w:hAnsi="Calibri"/>
                <w:b/>
                <w:color w:val="FFFFFF"/>
                <w:sz w:val="20"/>
              </w:rPr>
              <w:t>Monthly Cost</w:t>
            </w:r>
          </w:p>
        </w:tc>
      </w:tr>
      <w:tr>
        <w:tc>
          <w:tcPr>
            <w:tcW w:type="dxa" w:w="6236"/>
            <w:shd w:fill="F2F6FA" w:val="clear"/>
          </w:tcPr>
          <w:p>
            <w:r>
              <w:rPr>
                <w:rFonts w:ascii="Calibri" w:hAnsi="Calibri"/>
                <w:b w:val="0"/>
                <w:color w:val="333333"/>
                <w:sz w:val="18"/>
              </w:rPr>
              <w:t>ECS Fargate (0.5 vCPU, 1 GB, 1 task)</w:t>
            </w:r>
          </w:p>
        </w:tc>
        <w:tc>
          <w:tcPr>
            <w:tcW w:type="dxa" w:w="3402"/>
            <w:shd w:fill="F2F6FA" w:val="clear"/>
          </w:tcPr>
          <w:p>
            <w:r>
              <w:rPr>
                <w:rFonts w:ascii="Calibri" w:hAnsi="Calibri"/>
                <w:b w:val="0"/>
                <w:color w:val="333333"/>
                <w:sz w:val="18"/>
              </w:rPr>
              <w:t>$18</w:t>
            </w:r>
          </w:p>
        </w:tc>
      </w:tr>
      <w:tr>
        <w:tc>
          <w:tcPr>
            <w:tcW w:type="dxa" w:w="6236"/>
          </w:tcPr>
          <w:p>
            <w:r>
              <w:rPr>
                <w:rFonts w:ascii="Calibri" w:hAnsi="Calibri"/>
                <w:b w:val="0"/>
                <w:color w:val="333333"/>
                <w:sz w:val="18"/>
              </w:rPr>
              <w:t>RDS db.t4g.small (single-AZ, 20 GB gp3, incl. TimescaleDB)</w:t>
            </w:r>
          </w:p>
        </w:tc>
        <w:tc>
          <w:tcPr>
            <w:tcW w:type="dxa" w:w="3402"/>
          </w:tcPr>
          <w:p>
            <w:r>
              <w:rPr>
                <w:rFonts w:ascii="Calibri" w:hAnsi="Calibri"/>
                <w:b w:val="0"/>
                <w:color w:val="333333"/>
                <w:sz w:val="18"/>
              </w:rPr>
              <w:t>$28</w:t>
            </w:r>
          </w:p>
        </w:tc>
      </w:tr>
      <w:tr>
        <w:tc>
          <w:tcPr>
            <w:tcW w:type="dxa" w:w="6236"/>
            <w:shd w:fill="F2F6FA" w:val="clear"/>
          </w:tcPr>
          <w:p>
            <w:r>
              <w:rPr>
                <w:rFonts w:ascii="Calibri" w:hAnsi="Calibri"/>
                <w:b w:val="0"/>
                <w:color w:val="333333"/>
                <w:sz w:val="18"/>
              </w:rPr>
              <w:t>ElastiCache cache.t4g.micro</w:t>
            </w:r>
          </w:p>
        </w:tc>
        <w:tc>
          <w:tcPr>
            <w:tcW w:type="dxa" w:w="3402"/>
            <w:shd w:fill="F2F6FA" w:val="clear"/>
          </w:tcPr>
          <w:p>
            <w:r>
              <w:rPr>
                <w:rFonts w:ascii="Calibri" w:hAnsi="Calibri"/>
                <w:b w:val="0"/>
                <w:color w:val="333333"/>
                <w:sz w:val="18"/>
              </w:rPr>
              <w:t>$12</w:t>
            </w:r>
          </w:p>
        </w:tc>
      </w:tr>
      <w:tr>
        <w:tc>
          <w:tcPr>
            <w:tcW w:type="dxa" w:w="6236"/>
          </w:tcPr>
          <w:p>
            <w:r>
              <w:rPr>
                <w:rFonts w:ascii="Calibri" w:hAnsi="Calibri"/>
                <w:b w:val="0"/>
                <w:color w:val="333333"/>
                <w:sz w:val="18"/>
              </w:rPr>
              <w:t>ALB (minimal traffic)</w:t>
            </w:r>
          </w:p>
        </w:tc>
        <w:tc>
          <w:tcPr>
            <w:tcW w:type="dxa" w:w="3402"/>
          </w:tcPr>
          <w:p>
            <w:r>
              <w:rPr>
                <w:rFonts w:ascii="Calibri" w:hAnsi="Calibri"/>
                <w:b w:val="0"/>
                <w:color w:val="333333"/>
                <w:sz w:val="18"/>
              </w:rPr>
              <w:t>$17</w:t>
            </w:r>
          </w:p>
        </w:tc>
      </w:tr>
      <w:tr>
        <w:tc>
          <w:tcPr>
            <w:tcW w:type="dxa" w:w="6236"/>
            <w:shd w:fill="F2F6FA" w:val="clear"/>
          </w:tcPr>
          <w:p>
            <w:r>
              <w:rPr>
                <w:rFonts w:ascii="Calibri" w:hAnsi="Calibri"/>
                <w:b w:val="0"/>
                <w:color w:val="333333"/>
                <w:sz w:val="18"/>
              </w:rPr>
              <w:t>S3 + CloudWatch + ECR + Secrets + data transfer</w:t>
            </w:r>
          </w:p>
        </w:tc>
        <w:tc>
          <w:tcPr>
            <w:tcW w:type="dxa" w:w="3402"/>
            <w:shd w:fill="F2F6FA" w:val="clear"/>
          </w:tcPr>
          <w:p>
            <w:r>
              <w:rPr>
                <w:rFonts w:ascii="Calibri" w:hAnsi="Calibri"/>
                <w:b w:val="0"/>
                <w:color w:val="333333"/>
                <w:sz w:val="18"/>
              </w:rPr>
              <w:t>$14</w:t>
            </w:r>
          </w:p>
        </w:tc>
      </w:tr>
      <w:tr>
        <w:tc>
          <w:tcPr>
            <w:tcW w:type="dxa" w:w="6236"/>
          </w:tcPr>
          <w:p>
            <w:r>
              <w:rPr>
                <w:rFonts w:ascii="Calibri" w:hAnsi="Calibri"/>
                <w:b w:val="0"/>
                <w:color w:val="333333"/>
                <w:sz w:val="18"/>
              </w:rPr>
              <w:t>Neo4j Aura (free / smallest paid tier)</w:t>
            </w:r>
          </w:p>
        </w:tc>
        <w:tc>
          <w:tcPr>
            <w:tcW w:type="dxa" w:w="3402"/>
          </w:tcPr>
          <w:p>
            <w:r>
              <w:rPr>
                <w:rFonts w:ascii="Calibri" w:hAnsi="Calibri"/>
                <w:b w:val="0"/>
                <w:color w:val="333333"/>
                <w:sz w:val="18"/>
              </w:rPr>
              <w:t>$0–65</w:t>
            </w:r>
          </w:p>
        </w:tc>
      </w:tr>
      <w:tr>
        <w:tc>
          <w:tcPr>
            <w:tcW w:type="dxa" w:w="6236"/>
            <w:shd w:fill="F2F6FA" w:val="clear"/>
          </w:tcPr>
          <w:p>
            <w:r>
              <w:rPr>
                <w:rFonts w:ascii="Calibri" w:hAnsi="Calibri"/>
                <w:b w:val="0"/>
                <w:color w:val="333333"/>
                <w:sz w:val="18"/>
              </w:rPr>
              <w:t>Subtotal, AWS only</w:t>
            </w:r>
          </w:p>
        </w:tc>
        <w:tc>
          <w:tcPr>
            <w:tcW w:type="dxa" w:w="3402"/>
            <w:shd w:fill="F2F6FA" w:val="clear"/>
          </w:tcPr>
          <w:p>
            <w:r>
              <w:rPr>
                <w:rFonts w:ascii="Calibri" w:hAnsi="Calibri"/>
                <w:b w:val="0"/>
                <w:color w:val="333333"/>
                <w:sz w:val="18"/>
              </w:rPr>
              <w:t>~$89</w:t>
            </w:r>
          </w:p>
        </w:tc>
      </w:tr>
      <w:tr>
        <w:tc>
          <w:tcPr>
            <w:tcW w:type="dxa" w:w="6236"/>
          </w:tcPr>
          <w:p>
            <w:r>
              <w:rPr>
                <w:rFonts w:ascii="Calibri" w:hAnsi="Calibri"/>
                <w:b w:val="0"/>
                <w:color w:val="333333"/>
                <w:sz w:val="18"/>
              </w:rPr>
              <w:t>Total with a small Aura instance</w:t>
            </w:r>
          </w:p>
        </w:tc>
        <w:tc>
          <w:tcPr>
            <w:tcW w:type="dxa" w:w="3402"/>
          </w:tcPr>
          <w:p>
            <w:r>
              <w:rPr>
                <w:rFonts w:ascii="Calibri" w:hAnsi="Calibri"/>
                <w:b w:val="0"/>
                <w:color w:val="333333"/>
                <w:sz w:val="18"/>
              </w:rPr>
              <w:t>~$118</w:t>
            </w:r>
          </w:p>
        </w:tc>
      </w:tr>
    </w:tbl>
    <w:p/>
    <w:p>
      <w:pPr>
        <w:pStyle w:val="Heading2"/>
      </w:pPr>
      <w:r>
        <w:rPr>
          <w:rFonts w:ascii="Calibri" w:hAnsi="Calibri"/>
          <w:color w:val="1B2A4A"/>
        </w:rPr>
        <w:t>7.2 Production (~$470/month)</w:t>
      </w:r>
    </w:p>
    <w:tbl>
      <w:tblPr>
        <w:tblW w:type="auto" w:w="0"/>
        <w:jc w:val="center"/>
        <w:tblLook w:firstColumn="1" w:firstRow="1" w:lastColumn="0" w:lastRow="0" w:noHBand="0" w:noVBand="1" w:val="04A0"/>
      </w:tblPr>
      <w:tblGrid>
        <w:gridCol w:w="4320"/>
        <w:gridCol w:w="4320"/>
      </w:tblGrid>
      <w:tr>
        <w:tc>
          <w:tcPr>
            <w:tcW w:type="dxa" w:w="6236"/>
            <w:shd w:fill="1B2A4A" w:val="clear"/>
          </w:tcPr>
          <w:p>
            <w:r>
              <w:rPr>
                <w:rFonts w:ascii="Calibri" w:hAnsi="Calibri"/>
                <w:b/>
                <w:color w:val="FFFFFF"/>
                <w:sz w:val="20"/>
              </w:rPr>
              <w:t>Resource</w:t>
            </w:r>
          </w:p>
        </w:tc>
        <w:tc>
          <w:tcPr>
            <w:tcW w:type="dxa" w:w="3402"/>
            <w:shd w:fill="1B2A4A" w:val="clear"/>
          </w:tcPr>
          <w:p>
            <w:r>
              <w:rPr>
                <w:rFonts w:ascii="Calibri" w:hAnsi="Calibri"/>
                <w:b/>
                <w:color w:val="FFFFFF"/>
                <w:sz w:val="20"/>
              </w:rPr>
              <w:t>Monthly Cost</w:t>
            </w:r>
          </w:p>
        </w:tc>
      </w:tr>
      <w:tr>
        <w:tc>
          <w:tcPr>
            <w:tcW w:type="dxa" w:w="6236"/>
            <w:shd w:fill="F2F6FA" w:val="clear"/>
          </w:tcPr>
          <w:p>
            <w:r>
              <w:rPr>
                <w:rFonts w:ascii="Calibri" w:hAnsi="Calibri"/>
                <w:b w:val="0"/>
                <w:color w:val="333333"/>
                <w:sz w:val="18"/>
              </w:rPr>
              <w:t>ECS Fargate (1 vCPU, 2 GB, 2 tasks)</w:t>
            </w:r>
          </w:p>
        </w:tc>
        <w:tc>
          <w:tcPr>
            <w:tcW w:type="dxa" w:w="3402"/>
            <w:shd w:fill="F2F6FA" w:val="clear"/>
          </w:tcPr>
          <w:p>
            <w:r>
              <w:rPr>
                <w:rFonts w:ascii="Calibri" w:hAnsi="Calibri"/>
                <w:b w:val="0"/>
                <w:color w:val="333333"/>
                <w:sz w:val="18"/>
              </w:rPr>
              <w:t>$72</w:t>
            </w:r>
          </w:p>
        </w:tc>
      </w:tr>
      <w:tr>
        <w:tc>
          <w:tcPr>
            <w:tcW w:type="dxa" w:w="6236"/>
          </w:tcPr>
          <w:p>
            <w:r>
              <w:rPr>
                <w:rFonts w:ascii="Calibri" w:hAnsi="Calibri"/>
                <w:b w:val="0"/>
                <w:color w:val="333333"/>
                <w:sz w:val="18"/>
              </w:rPr>
              <w:t>RDS db.t4g.medium (Multi-AZ, 100 GB gp3, incl. TimescaleDB)</w:t>
            </w:r>
          </w:p>
        </w:tc>
        <w:tc>
          <w:tcPr>
            <w:tcW w:type="dxa" w:w="3402"/>
          </w:tcPr>
          <w:p>
            <w:r>
              <w:rPr>
                <w:rFonts w:ascii="Calibri" w:hAnsi="Calibri"/>
                <w:b w:val="0"/>
                <w:color w:val="333333"/>
                <w:sz w:val="18"/>
              </w:rPr>
              <w:t>$130</w:t>
            </w:r>
          </w:p>
        </w:tc>
      </w:tr>
      <w:tr>
        <w:tc>
          <w:tcPr>
            <w:tcW w:type="dxa" w:w="6236"/>
            <w:shd w:fill="F2F6FA" w:val="clear"/>
          </w:tcPr>
          <w:p>
            <w:r>
              <w:rPr>
                <w:rFonts w:ascii="Calibri" w:hAnsi="Calibri"/>
                <w:b w:val="0"/>
                <w:color w:val="333333"/>
                <w:sz w:val="18"/>
              </w:rPr>
              <w:t>RDS Proxy</w:t>
            </w:r>
          </w:p>
        </w:tc>
        <w:tc>
          <w:tcPr>
            <w:tcW w:type="dxa" w:w="3402"/>
            <w:shd w:fill="F2F6FA" w:val="clear"/>
          </w:tcPr>
          <w:p>
            <w:r>
              <w:rPr>
                <w:rFonts w:ascii="Calibri" w:hAnsi="Calibri"/>
                <w:b w:val="0"/>
                <w:color w:val="333333"/>
                <w:sz w:val="18"/>
              </w:rPr>
              <w:t>$22</w:t>
            </w:r>
          </w:p>
        </w:tc>
      </w:tr>
      <w:tr>
        <w:tc>
          <w:tcPr>
            <w:tcW w:type="dxa" w:w="6236"/>
          </w:tcPr>
          <w:p>
            <w:r>
              <w:rPr>
                <w:rFonts w:ascii="Calibri" w:hAnsi="Calibri"/>
                <w:b w:val="0"/>
                <w:color w:val="333333"/>
                <w:sz w:val="18"/>
              </w:rPr>
              <w:t>ElastiCache cache.t4g.small (Multi-AZ)</w:t>
            </w:r>
          </w:p>
        </w:tc>
        <w:tc>
          <w:tcPr>
            <w:tcW w:type="dxa" w:w="3402"/>
          </w:tcPr>
          <w:p>
            <w:r>
              <w:rPr>
                <w:rFonts w:ascii="Calibri" w:hAnsi="Calibri"/>
                <w:b w:val="0"/>
                <w:color w:val="333333"/>
                <w:sz w:val="18"/>
              </w:rPr>
              <w:t>$36</w:t>
            </w:r>
          </w:p>
        </w:tc>
      </w:tr>
      <w:tr>
        <w:tc>
          <w:tcPr>
            <w:tcW w:type="dxa" w:w="6236"/>
            <w:shd w:fill="F2F6FA" w:val="clear"/>
          </w:tcPr>
          <w:p>
            <w:r>
              <w:rPr>
                <w:rFonts w:ascii="Calibri" w:hAnsi="Calibri"/>
                <w:b w:val="0"/>
                <w:color w:val="333333"/>
                <w:sz w:val="18"/>
              </w:rPr>
              <w:t>ALB (moderate traffic)</w:t>
            </w:r>
          </w:p>
        </w:tc>
        <w:tc>
          <w:tcPr>
            <w:tcW w:type="dxa" w:w="3402"/>
            <w:shd w:fill="F2F6FA" w:val="clear"/>
          </w:tcPr>
          <w:p>
            <w:r>
              <w:rPr>
                <w:rFonts w:ascii="Calibri" w:hAnsi="Calibri"/>
                <w:b w:val="0"/>
                <w:color w:val="333333"/>
                <w:sz w:val="18"/>
              </w:rPr>
              <w:t>$25</w:t>
            </w:r>
          </w:p>
        </w:tc>
      </w:tr>
      <w:tr>
        <w:tc>
          <w:tcPr>
            <w:tcW w:type="dxa" w:w="6236"/>
          </w:tcPr>
          <w:p>
            <w:r>
              <w:rPr>
                <w:rFonts w:ascii="Calibri" w:hAnsi="Calibri"/>
                <w:b w:val="0"/>
                <w:color w:val="333333"/>
                <w:sz w:val="18"/>
              </w:rPr>
              <w:t>NAT Gateway (1 AZ; S3 gateway endpoint keeps blob traffic off it)</w:t>
            </w:r>
          </w:p>
        </w:tc>
        <w:tc>
          <w:tcPr>
            <w:tcW w:type="dxa" w:w="3402"/>
          </w:tcPr>
          <w:p>
            <w:r>
              <w:rPr>
                <w:rFonts w:ascii="Calibri" w:hAnsi="Calibri"/>
                <w:b w:val="0"/>
                <w:color w:val="333333"/>
                <w:sz w:val="18"/>
              </w:rPr>
              <w:t>$32</w:t>
            </w:r>
          </w:p>
        </w:tc>
      </w:tr>
      <w:tr>
        <w:tc>
          <w:tcPr>
            <w:tcW w:type="dxa" w:w="6236"/>
            <w:shd w:fill="F2F6FA" w:val="clear"/>
          </w:tcPr>
          <w:p>
            <w:r>
              <w:rPr>
                <w:rFonts w:ascii="Calibri" w:hAnsi="Calibri"/>
                <w:b w:val="0"/>
                <w:color w:val="333333"/>
                <w:sz w:val="18"/>
              </w:rPr>
              <w:t>S3 + CloudWatch + ECR + Secrets + data transfer</w:t>
            </w:r>
          </w:p>
        </w:tc>
        <w:tc>
          <w:tcPr>
            <w:tcW w:type="dxa" w:w="3402"/>
            <w:shd w:fill="F2F6FA" w:val="clear"/>
          </w:tcPr>
          <w:p>
            <w:r>
              <w:rPr>
                <w:rFonts w:ascii="Calibri" w:hAnsi="Calibri"/>
                <w:b w:val="0"/>
                <w:color w:val="333333"/>
                <w:sz w:val="18"/>
              </w:rPr>
              <w:t>$43</w:t>
            </w:r>
          </w:p>
        </w:tc>
      </w:tr>
      <w:tr>
        <w:tc>
          <w:tcPr>
            <w:tcW w:type="dxa" w:w="6236"/>
          </w:tcPr>
          <w:p>
            <w:r>
              <w:rPr>
                <w:rFonts w:ascii="Calibri" w:hAnsi="Calibri"/>
                <w:b w:val="0"/>
                <w:color w:val="333333"/>
                <w:sz w:val="18"/>
              </w:rPr>
              <w:t>Neo4j Aura Professional</w:t>
            </w:r>
          </w:p>
        </w:tc>
        <w:tc>
          <w:tcPr>
            <w:tcW w:type="dxa" w:w="3402"/>
          </w:tcPr>
          <w:p>
            <w:r>
              <w:rPr>
                <w:rFonts w:ascii="Calibri" w:hAnsi="Calibri"/>
                <w:b w:val="0"/>
                <w:color w:val="333333"/>
                <w:sz w:val="18"/>
              </w:rPr>
              <w:t>$110</w:t>
            </w:r>
          </w:p>
        </w:tc>
      </w:tr>
      <w:tr>
        <w:tc>
          <w:tcPr>
            <w:tcW w:type="dxa" w:w="6236"/>
            <w:shd w:fill="F2F6FA" w:val="clear"/>
          </w:tcPr>
          <w:p>
            <w:r>
              <w:rPr>
                <w:rFonts w:ascii="Calibri" w:hAnsi="Calibri"/>
                <w:b w:val="0"/>
                <w:color w:val="333333"/>
                <w:sz w:val="18"/>
              </w:rPr>
              <w:t>Subtotal, AWS only</w:t>
            </w:r>
          </w:p>
        </w:tc>
        <w:tc>
          <w:tcPr>
            <w:tcW w:type="dxa" w:w="3402"/>
            <w:shd w:fill="F2F6FA" w:val="clear"/>
          </w:tcPr>
          <w:p>
            <w:r>
              <w:rPr>
                <w:rFonts w:ascii="Calibri" w:hAnsi="Calibri"/>
                <w:b w:val="0"/>
                <w:color w:val="333333"/>
                <w:sz w:val="18"/>
              </w:rPr>
              <w:t>~$360</w:t>
            </w:r>
          </w:p>
        </w:tc>
      </w:tr>
      <w:tr>
        <w:tc>
          <w:tcPr>
            <w:tcW w:type="dxa" w:w="6236"/>
          </w:tcPr>
          <w:p>
            <w:r>
              <w:rPr>
                <w:rFonts w:ascii="Calibri" w:hAnsi="Calibri"/>
                <w:b w:val="0"/>
                <w:color w:val="333333"/>
                <w:sz w:val="18"/>
              </w:rPr>
              <w:t>Total with Aura</w:t>
            </w:r>
          </w:p>
        </w:tc>
        <w:tc>
          <w:tcPr>
            <w:tcW w:type="dxa" w:w="3402"/>
          </w:tcPr>
          <w:p>
            <w:r>
              <w:rPr>
                <w:rFonts w:ascii="Calibri" w:hAnsi="Calibri"/>
                <w:b w:val="0"/>
                <w:color w:val="333333"/>
                <w:sz w:val="18"/>
              </w:rPr>
              <w:t>~$470</w:t>
            </w:r>
          </w:p>
        </w:tc>
      </w:tr>
    </w:tbl>
    <w:p/>
    <w:p>
      <w:pPr>
        <w:spacing w:after="120"/>
      </w:pPr>
      <w:r>
        <w:rPr>
          <w:rFonts w:ascii="Calibri" w:hAnsi="Calibri"/>
          <w:b w:val="0"/>
          <w:color w:val="666666"/>
          <w:sz w:val="20"/>
        </w:rPr>
        <w:t>Not included and usage-based: (1) Anthropic API for the copilot — Sonnet 5 at roughly $3/MTok input and $15/MTok output; moderate operator use across a handful of twins is approximately $40–120/month, and the budget cap in copilot/spend.py is what bounds it. (2) RunPod serverless GPU for reconstruction — billed per second of GPU time, typically a few cents per model. (3) Historian storage growth — with compression and the retention policies the raw tier is bounded; without the TimescaleDB extension it is not.</w:t>
      </w:r>
    </w:p>
    <w:p>
      <w:r>
        <w:br w:type="page"/>
      </w:r>
    </w:p>
    <w:p>
      <w:pPr>
        <w:pStyle w:val="Heading1"/>
      </w:pPr>
      <w:r>
        <w:rPr>
          <w:rFonts w:ascii="Calibri" w:hAnsi="Calibri"/>
          <w:color w:val="1B2A4A"/>
        </w:rPr>
        <w:t>8. Deployment Pipeline</w:t>
      </w:r>
    </w:p>
    <w:p>
      <w:pPr>
        <w:spacing w:after="120"/>
      </w:pPr>
      <w:r>
        <w:rPr>
          <w:rFonts w:ascii="Calibri" w:hAnsi="Calibri"/>
          <w:b w:val="0"/>
          <w:color w:val="333333"/>
          <w:sz w:val="22"/>
        </w:rPr>
        <w:t>CI/CD uses AWS-native services: CodePipeline, CodeBuild, ECR and ECS rolling deployments. Rehearse the whole shape locally first — docker compose runs the same three shared stores (PostgreSQL 16, Redis 7, MinIO) plus Neo4j, so the production posture can be exercised before it is trusted.</w:t>
      </w:r>
    </w:p>
    <w:tbl>
      <w:tblPr>
        <w:tblW w:type="auto" w:w="0"/>
        <w:jc w:val="center"/>
        <w:tblLook w:firstColumn="1" w:firstRow="1" w:lastColumn="0" w:lastRow="0" w:noHBand="0" w:noVBand="1" w:val="04A0"/>
      </w:tblPr>
      <w:tblGrid>
        <w:gridCol w:w="4320"/>
        <w:gridCol w:w="4320"/>
      </w:tblGrid>
      <w:tr>
        <w:tc>
          <w:tcPr>
            <w:tcW w:type="dxa" w:w="2268"/>
            <w:shd w:fill="1B2A4A" w:val="clear"/>
          </w:tcPr>
          <w:p>
            <w:r>
              <w:rPr>
                <w:rFonts w:ascii="Calibri" w:hAnsi="Calibri"/>
                <w:b/>
                <w:color w:val="FFFFFF"/>
                <w:sz w:val="20"/>
              </w:rPr>
              <w:t>Stage</w:t>
            </w:r>
          </w:p>
        </w:tc>
        <w:tc>
          <w:tcPr>
            <w:tcW w:type="dxa" w:w="7370"/>
            <w:shd w:fill="1B2A4A" w:val="clear"/>
          </w:tcPr>
          <w:p>
            <w:r>
              <w:rPr>
                <w:rFonts w:ascii="Calibri" w:hAnsi="Calibri"/>
                <w:b/>
                <w:color w:val="FFFFFF"/>
                <w:sz w:val="20"/>
              </w:rPr>
              <w:t>Description</w:t>
            </w:r>
          </w:p>
        </w:tc>
      </w:tr>
      <w:tr>
        <w:tc>
          <w:tcPr>
            <w:tcW w:type="dxa" w:w="2268"/>
            <w:shd w:fill="F2F6FA" w:val="clear"/>
          </w:tcPr>
          <w:p>
            <w:r>
              <w:rPr>
                <w:rFonts w:ascii="Calibri" w:hAnsi="Calibri"/>
                <w:b w:val="0"/>
                <w:color w:val="333333"/>
                <w:sz w:val="18"/>
              </w:rPr>
              <w:t>1. Source</w:t>
            </w:r>
          </w:p>
        </w:tc>
        <w:tc>
          <w:tcPr>
            <w:tcW w:type="dxa" w:w="7370"/>
            <w:shd w:fill="F2F6FA" w:val="clear"/>
          </w:tcPr>
          <w:p>
            <w:r>
              <w:rPr>
                <w:rFonts w:ascii="Calibri" w:hAnsi="Calibri"/>
                <w:b w:val="0"/>
                <w:color w:val="333333"/>
                <w:sz w:val="18"/>
              </w:rPr>
              <w:t>GitHub webhook on push to the release branch</w:t>
            </w:r>
          </w:p>
        </w:tc>
      </w:tr>
      <w:tr>
        <w:tc>
          <w:tcPr>
            <w:tcW w:type="dxa" w:w="2268"/>
          </w:tcPr>
          <w:p>
            <w:r>
              <w:rPr>
                <w:rFonts w:ascii="Calibri" w:hAnsi="Calibri"/>
                <w:b w:val="0"/>
                <w:color w:val="333333"/>
                <w:sz w:val="18"/>
              </w:rPr>
              <w:t>2. Build</w:t>
            </w:r>
          </w:p>
        </w:tc>
        <w:tc>
          <w:tcPr>
            <w:tcW w:type="dxa" w:w="7370"/>
          </w:tcPr>
          <w:p>
            <w:r>
              <w:rPr>
                <w:rFonts w:ascii="Calibri" w:hAnsi="Calibri"/>
                <w:b w:val="0"/>
                <w:color w:val="333333"/>
                <w:sz w:val="18"/>
              </w:rPr>
              <w:t>docker build (multi-stage: Vite frontend, then the Python runtime), tag with the git SHA, push to ECR</w:t>
            </w:r>
          </w:p>
        </w:tc>
      </w:tr>
      <w:tr>
        <w:tc>
          <w:tcPr>
            <w:tcW w:type="dxa" w:w="2268"/>
            <w:shd w:fill="F2F6FA" w:val="clear"/>
          </w:tcPr>
          <w:p>
            <w:r>
              <w:rPr>
                <w:rFonts w:ascii="Calibri" w:hAnsi="Calibri"/>
                <w:b w:val="0"/>
                <w:color w:val="333333"/>
                <w:sz w:val="18"/>
              </w:rPr>
              <w:t>3. Test</w:t>
            </w:r>
          </w:p>
        </w:tc>
        <w:tc>
          <w:tcPr>
            <w:tcW w:type="dxa" w:w="7370"/>
            <w:shd w:fill="F2F6FA" w:val="clear"/>
          </w:tcPr>
          <w:p>
            <w:r>
              <w:rPr>
                <w:rFonts w:ascii="Calibri" w:hAnsi="Calibri"/>
                <w:b w:val="0"/>
                <w:color w:val="333333"/>
                <w:sz w:val="18"/>
              </w:rPr>
              <w:t>pytest — 171 tests covering De Soto physics, ingest/historian, point maps, the solar specification and tenant isolation</w:t>
            </w:r>
          </w:p>
        </w:tc>
      </w:tr>
      <w:tr>
        <w:tc>
          <w:tcPr>
            <w:tcW w:type="dxa" w:w="2268"/>
          </w:tcPr>
          <w:p>
            <w:r>
              <w:rPr>
                <w:rFonts w:ascii="Calibri" w:hAnsi="Calibri"/>
                <w:b w:val="0"/>
                <w:color w:val="333333"/>
                <w:sz w:val="18"/>
              </w:rPr>
              <w:t>4. Provision</w:t>
            </w:r>
          </w:p>
        </w:tc>
        <w:tc>
          <w:tcPr>
            <w:tcW w:type="dxa" w:w="7370"/>
          </w:tcPr>
          <w:p>
            <w:r>
              <w:rPr>
                <w:rFonts w:ascii="Calibri" w:hAnsi="Calibri"/>
                <w:b w:val="0"/>
                <w:color w:val="333333"/>
                <w:sz w:val="18"/>
              </w:rPr>
              <w:t>python -m db.schema and python -m tools.historian_provision from a bastion or ECS-exec session inside the VPC (RDS is not publicly reachable); both idempotent</w:t>
            </w:r>
          </w:p>
        </w:tc>
      </w:tr>
      <w:tr>
        <w:tc>
          <w:tcPr>
            <w:tcW w:type="dxa" w:w="2268"/>
            <w:shd w:fill="F2F6FA" w:val="clear"/>
          </w:tcPr>
          <w:p>
            <w:r>
              <w:rPr>
                <w:rFonts w:ascii="Calibri" w:hAnsi="Calibri"/>
                <w:b w:val="0"/>
                <w:color w:val="333333"/>
                <w:sz w:val="18"/>
              </w:rPr>
              <w:t>5. Deploy</w:t>
            </w:r>
          </w:p>
        </w:tc>
        <w:tc>
          <w:tcPr>
            <w:tcW w:type="dxa" w:w="7370"/>
            <w:shd w:fill="F2F6FA" w:val="clear"/>
          </w:tcPr>
          <w:p>
            <w:r>
              <w:rPr>
                <w:rFonts w:ascii="Calibri" w:hAnsi="Calibri"/>
                <w:b w:val="0"/>
                <w:color w:val="333333"/>
                <w:sz w:val="18"/>
              </w:rPr>
              <w:t>ECS rolling update: register the new task definition, drain old tasks</w:t>
            </w:r>
          </w:p>
        </w:tc>
      </w:tr>
      <w:tr>
        <w:tc>
          <w:tcPr>
            <w:tcW w:type="dxa" w:w="2268"/>
          </w:tcPr>
          <w:p>
            <w:r>
              <w:rPr>
                <w:rFonts w:ascii="Calibri" w:hAnsi="Calibri"/>
                <w:b w:val="0"/>
                <w:color w:val="333333"/>
                <w:sz w:val="18"/>
              </w:rPr>
              <w:t>6. Verify</w:t>
            </w:r>
          </w:p>
        </w:tc>
        <w:tc>
          <w:tcPr>
            <w:tcW w:type="dxa" w:w="7370"/>
          </w:tcPr>
          <w:p>
            <w:r>
              <w:rPr>
                <w:rFonts w:ascii="Calibri" w:hAnsi="Calibri"/>
                <w:b w:val="0"/>
                <w:color w:val="333333"/>
                <w:sz w:val="18"/>
              </w:rPr>
              <w:t>ALB health check must pass, then read the four posture lines in CloudWatch: [auth], [db], [blobs], [bus]</w:t>
            </w:r>
          </w:p>
        </w:tc>
      </w:tr>
      <w:tr>
        <w:tc>
          <w:tcPr>
            <w:tcW w:type="dxa" w:w="2268"/>
            <w:shd w:fill="F2F6FA" w:val="clear"/>
          </w:tcPr>
          <w:p>
            <w:r>
              <w:rPr>
                <w:rFonts w:ascii="Calibri" w:hAnsi="Calibri"/>
                <w:b w:val="0"/>
                <w:color w:val="333333"/>
                <w:sz w:val="18"/>
              </w:rPr>
              <w:t>7. Confirm ownership</w:t>
            </w:r>
          </w:p>
        </w:tc>
        <w:tc>
          <w:tcPr>
            <w:tcW w:type="dxa" w:w="7370"/>
            <w:shd w:fill="F2F6FA" w:val="clear"/>
          </w:tcPr>
          <w:p>
            <w:r>
              <w:rPr>
                <w:rFonts w:ascii="Calibri" w:hAnsi="Calibri"/>
                <w:b w:val="0"/>
                <w:color w:val="333333"/>
                <w:sz w:val="18"/>
              </w:rPr>
              <w:t>Check twin_runtime.owned across tasks — no tenant should appear in two tasks' lists at the same time</w:t>
            </w:r>
          </w:p>
        </w:tc>
      </w:tr>
      <w:tr>
        <w:tc>
          <w:tcPr>
            <w:tcW w:type="dxa" w:w="2268"/>
          </w:tcPr>
          <w:p>
            <w:r>
              <w:rPr>
                <w:rFonts w:ascii="Calibri" w:hAnsi="Calibri"/>
                <w:b w:val="0"/>
                <w:color w:val="333333"/>
                <w:sz w:val="18"/>
              </w:rPr>
              <w:t>8. Alarms</w:t>
            </w:r>
          </w:p>
        </w:tc>
        <w:tc>
          <w:tcPr>
            <w:tcW w:type="dxa" w:w="7370"/>
          </w:tcPr>
          <w:p>
            <w:r>
              <w:rPr>
                <w:rFonts w:ascii="Calibri" w:hAnsi="Calibri"/>
                <w:b w:val="0"/>
                <w:color w:val="333333"/>
                <w:sz w:val="18"/>
              </w:rPr>
              <w:t>CloudWatch alarms on the health payload's degraded status, on bus.scale_safe and historian.scale_safe, on ECS task CPU/memory and on RDS connections</w:t>
            </w:r>
          </w:p>
        </w:tc>
      </w:tr>
    </w:tbl>
    <w:p/>
    <w:p>
      <w:pPr>
        <w:spacing w:after="120"/>
      </w:pPr>
      <w:r>
        <w:rPr>
          <w:rFonts w:ascii="Calibri" w:hAnsi="Calibri"/>
          <w:b w:val="0"/>
          <w:color w:val="333333"/>
          <w:sz w:val="22"/>
        </w:rPr>
        <w:t>Rollback is an ECS service update back to the previous task definition. Because schema provisioning is additive and idempotent, a rollback of the application does not require a schema rollback. Migrating an existing SQLite deployment is a separate, one-time step: python -m db.migrate --dry-run, then python -m db.migrate, before traffic is pointed at the new stack.</w:t>
      </w:r>
    </w:p>
    <w:p/>
    <w:p>
      <w:pPr>
        <w:jc w:val="center"/>
      </w:pPr>
      <w:r>
        <w:rPr>
          <w:rFonts w:ascii="Calibri" w:hAnsi="Calibri"/>
          <w:b w:val="0"/>
          <w:color w:val="666666"/>
          <w:sz w:val="18"/>
        </w:rPr>
        <w:t>NextXR Digital Twin Platform -- AWS Architecture Document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