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56"/>
        </w:rPr>
        <w:t>NextXR Digital Twin Platform</w:t>
      </w:r>
    </w:p>
    <w:p>
      <w:pPr>
        <w:jc w:val="center"/>
      </w:pPr>
      <w:r>
        <w:rPr>
          <w:rFonts w:ascii="Calibri" w:hAnsi="Calibri"/>
          <w:b/>
          <w:color w:val="1B2A4A"/>
          <w:sz w:val="40"/>
        </w:rPr>
        <w:t>Data Requirements Document (DRD)</w:t>
      </w:r>
    </w:p>
    <w:p>
      <w:pPr>
        <w:jc w:val="center"/>
      </w:pPr>
      <w:r>
        <w:rPr>
          <w:rFonts w:ascii="Calibri" w:hAnsi="Calibri"/>
          <w:b w:val="0"/>
          <w:color w:val="666666"/>
          <w:sz w:val="24"/>
        </w:rPr>
        <w:t>Version 1.0  |  July 2026  |  GoalCert Engineering</w:t>
      </w:r>
    </w:p>
    <w:p>
      <w:r>
        <w:br w:type="page"/>
      </w:r>
    </w:p>
    <w:p>
      <w:pPr>
        <w:pStyle w:val="Heading1"/>
      </w:pPr>
      <w:r>
        <w:rPr>
          <w:rFonts w:ascii="Calibri" w:hAnsi="Calibri"/>
          <w:color w:val="1B2A4A"/>
        </w:rPr>
        <w:t>1. Introduction</w:t>
      </w:r>
    </w:p>
    <w:p>
      <w:pPr>
        <w:pStyle w:val="Heading2"/>
      </w:pPr>
      <w:r>
        <w:rPr>
          <w:rFonts w:ascii="Calibri" w:hAnsi="Calibri"/>
          <w:color w:val="1B2A4A"/>
        </w:rPr>
        <w:t>1.1 Purpose</w:t>
      </w:r>
    </w:p>
    <w:p>
      <w:pPr>
        <w:spacing w:after="120"/>
      </w:pPr>
      <w:r>
        <w:rPr>
          <w:rFonts w:ascii="Calibri" w:hAnsi="Calibri"/>
          <w:b w:val="0"/>
          <w:color w:val="333333"/>
          <w:sz w:val="22"/>
        </w:rPr>
        <w:t>This Data Requirements Document defines every persistent data entity in the NextXR Digital Twin Platform. It is the authoritative reference for the relational schema, the telemetry historian, the Neo4j graph model, column semantics, data types, constraints and data-governance policies.</w:t>
      </w:r>
    </w:p>
    <w:p>
      <w:pPr>
        <w:pStyle w:val="Heading2"/>
      </w:pPr>
      <w:r>
        <w:rPr>
          <w:rFonts w:ascii="Calibri" w:hAnsi="Calibri"/>
          <w:color w:val="1B2A4A"/>
        </w:rPr>
        <w:t>1.2 Scope</w:t>
      </w:r>
    </w:p>
    <w:p>
      <w:pPr>
        <w:spacing w:after="120"/>
      </w:pPr>
      <w:r>
        <w:rPr>
          <w:rFonts w:ascii="Calibri" w:hAnsi="Calibri"/>
          <w:b w:val="0"/>
          <w:color w:val="333333"/>
          <w:sz w:val="22"/>
        </w:rPr>
        <w:t>The document covers all four stores: 9 relational tables plus 3 continuous aggregates on PostgreSQL 16 with TimescaleDB, the Neo4j property-graph model shaped by the closed ten-category ontology taxonomy, the Redis Streams event bus, and the S3 blob key space. Each store has exactly one job and none duplicates another's.</w:t>
      </w:r>
    </w:p>
    <w:p>
      <w:pPr>
        <w:pStyle w:val="Heading1"/>
      </w:pPr>
      <w:r>
        <w:rPr>
          <w:rFonts w:ascii="Calibri" w:hAnsi="Calibri"/>
          <w:color w:val="1B2A4A"/>
        </w:rPr>
        <w:t>2. Data Architecture Overview</w:t>
      </w:r>
    </w:p>
    <w:p>
      <w:pPr>
        <w:spacing w:after="120"/>
      </w:pPr>
      <w:r>
        <w:rPr>
          <w:rFonts w:ascii="Calibri" w:hAnsi="Calibri"/>
          <w:b w:val="0"/>
          <w:color w:val="333333"/>
          <w:sz w:val="22"/>
        </w:rPr>
        <w:t>NextXR is multi-tenant by construction. Every relational table carries a tenant_id (or is itself keyed by it), every Neo4j node carries tenantId as half of its uniqueness constraint, every Redis stream is named for its tenant, and every blob key is written under the owning job. There is deliberately no cross-tenant foreign key anywhere in the schema.</w:t>
      </w:r>
    </w:p>
    <w:tbl>
      <w:tblPr>
        <w:tblW w:type="auto" w:w="0"/>
        <w:jc w:val="center"/>
        <w:tblLook w:firstColumn="1" w:firstRow="1" w:lastColumn="0" w:lastRow="0" w:noHBand="0" w:noVBand="1" w:val="04A0"/>
      </w:tblPr>
      <w:tblGrid>
        <w:gridCol w:w="2160"/>
        <w:gridCol w:w="2160"/>
        <w:gridCol w:w="2160"/>
        <w:gridCol w:w="2160"/>
      </w:tblGrid>
      <w:tr>
        <w:tc>
          <w:tcPr>
            <w:tcW w:type="dxa" w:w="1417"/>
            <w:shd w:fill="1B2A4A" w:val="clear"/>
          </w:tcPr>
          <w:p>
            <w:r>
              <w:rPr>
                <w:rFonts w:ascii="Calibri" w:hAnsi="Calibri"/>
                <w:b/>
                <w:color w:val="FFFFFF"/>
                <w:sz w:val="20"/>
              </w:rPr>
              <w:t>Store</w:t>
            </w:r>
          </w:p>
        </w:tc>
        <w:tc>
          <w:tcPr>
            <w:tcW w:type="dxa" w:w="1984"/>
            <w:shd w:fill="1B2A4A" w:val="clear"/>
          </w:tcPr>
          <w:p>
            <w:r>
              <w:rPr>
                <w:rFonts w:ascii="Calibri" w:hAnsi="Calibri"/>
                <w:b/>
                <w:color w:val="FFFFFF"/>
                <w:sz w:val="20"/>
              </w:rPr>
              <w:t>Technology</w:t>
            </w:r>
          </w:p>
        </w:tc>
        <w:tc>
          <w:tcPr>
            <w:tcW w:type="dxa" w:w="2835"/>
            <w:shd w:fill="1B2A4A" w:val="clear"/>
          </w:tcPr>
          <w:p>
            <w:r>
              <w:rPr>
                <w:rFonts w:ascii="Calibri" w:hAnsi="Calibri"/>
                <w:b/>
                <w:color w:val="FFFFFF"/>
                <w:sz w:val="20"/>
              </w:rPr>
              <w:t>Holds</w:t>
            </w:r>
          </w:p>
        </w:tc>
        <w:tc>
          <w:tcPr>
            <w:tcW w:type="dxa" w:w="3402"/>
            <w:shd w:fill="1B2A4A" w:val="clear"/>
          </w:tcPr>
          <w:p>
            <w:r>
              <w:rPr>
                <w:rFonts w:ascii="Calibri" w:hAnsi="Calibri"/>
                <w:b/>
                <w:color w:val="FFFFFF"/>
                <w:sz w:val="20"/>
              </w:rPr>
              <w:t>Why this store</w:t>
            </w:r>
          </w:p>
        </w:tc>
      </w:tr>
      <w:tr>
        <w:tc>
          <w:tcPr>
            <w:tcW w:type="dxa" w:w="1417"/>
            <w:shd w:fill="F2F6FA" w:val="clear"/>
          </w:tcPr>
          <w:p>
            <w:r>
              <w:rPr>
                <w:rFonts w:ascii="Calibri" w:hAnsi="Calibri"/>
                <w:b w:val="0"/>
                <w:color w:val="333333"/>
                <w:sz w:val="18"/>
              </w:rPr>
              <w:t>Relational</w:t>
            </w:r>
          </w:p>
        </w:tc>
        <w:tc>
          <w:tcPr>
            <w:tcW w:type="dxa" w:w="1984"/>
            <w:shd w:fill="F2F6FA" w:val="clear"/>
          </w:tcPr>
          <w:p>
            <w:r>
              <w:rPr>
                <w:rFonts w:ascii="Calibri" w:hAnsi="Calibri"/>
                <w:b w:val="0"/>
                <w:color w:val="333333"/>
                <w:sz w:val="18"/>
              </w:rPr>
              <w:t>PostgreSQL 16 (SQLite fallback)</w:t>
            </w:r>
          </w:p>
        </w:tc>
        <w:tc>
          <w:tcPr>
            <w:tcW w:type="dxa" w:w="2835"/>
            <w:shd w:fill="F2F6FA" w:val="clear"/>
          </w:tcPr>
          <w:p>
            <w:r>
              <w:rPr>
                <w:rFonts w:ascii="Calibri" w:hAnsi="Calibri"/>
                <w:b w:val="0"/>
                <w:color w:val="333333"/>
                <w:sz w:val="18"/>
              </w:rPr>
              <w:t>Twin registry, change log, bundles, checkpoints, scene cache, 3-D jobs, devices, connectors</w:t>
            </w:r>
          </w:p>
        </w:tc>
        <w:tc>
          <w:tcPr>
            <w:tcW w:type="dxa" w:w="3402"/>
            <w:shd w:fill="F2F6FA" w:val="clear"/>
          </w:tcPr>
          <w:p>
            <w:r>
              <w:rPr>
                <w:rFonts w:ascii="Calibri" w:hAnsi="Calibri"/>
                <w:b w:val="0"/>
                <w:color w:val="333333"/>
                <w:sz w:val="18"/>
              </w:rPr>
              <w:t>Managed, backed-up, multi-writer; PITR matters because the change log is an audit record</w:t>
            </w:r>
          </w:p>
        </w:tc>
      </w:tr>
      <w:tr>
        <w:tc>
          <w:tcPr>
            <w:tcW w:type="dxa" w:w="1417"/>
          </w:tcPr>
          <w:p>
            <w:r>
              <w:rPr>
                <w:rFonts w:ascii="Calibri" w:hAnsi="Calibri"/>
                <w:b w:val="0"/>
                <w:color w:val="333333"/>
                <w:sz w:val="18"/>
              </w:rPr>
              <w:t>Historian</w:t>
            </w:r>
          </w:p>
        </w:tc>
        <w:tc>
          <w:tcPr>
            <w:tcW w:type="dxa" w:w="1984"/>
          </w:tcPr>
          <w:p>
            <w:r>
              <w:rPr>
                <w:rFonts w:ascii="Calibri" w:hAnsi="Calibri"/>
                <w:b w:val="0"/>
                <w:color w:val="333333"/>
                <w:sz w:val="18"/>
              </w:rPr>
              <w:t>TimescaleDB extension on the same instance</w:t>
            </w:r>
          </w:p>
        </w:tc>
        <w:tc>
          <w:tcPr>
            <w:tcW w:type="dxa" w:w="2835"/>
          </w:tcPr>
          <w:p>
            <w:r>
              <w:rPr>
                <w:rFonts w:ascii="Calibri" w:hAnsi="Calibri"/>
                <w:b w:val="0"/>
                <w:color w:val="333333"/>
                <w:sz w:val="18"/>
              </w:rPr>
              <w:t>measurements hypertable + 1m/1h/1d rollups</w:t>
            </w:r>
          </w:p>
        </w:tc>
        <w:tc>
          <w:tcPr>
            <w:tcW w:type="dxa" w:w="3402"/>
          </w:tcPr>
          <w:p>
            <w:r>
              <w:rPr>
                <w:rFonts w:ascii="Calibri" w:hAnsi="Calibri"/>
                <w:b w:val="0"/>
                <w:color w:val="333333"/>
                <w:sz w:val="18"/>
              </w:rPr>
              <w:t>An extension, not a second database: same pool, same backups, no new security group</w:t>
            </w:r>
          </w:p>
        </w:tc>
      </w:tr>
      <w:tr>
        <w:tc>
          <w:tcPr>
            <w:tcW w:type="dxa" w:w="1417"/>
            <w:shd w:fill="F2F6FA" w:val="clear"/>
          </w:tcPr>
          <w:p>
            <w:r>
              <w:rPr>
                <w:rFonts w:ascii="Calibri" w:hAnsi="Calibri"/>
                <w:b w:val="0"/>
                <w:color w:val="333333"/>
                <w:sz w:val="18"/>
              </w:rPr>
              <w:t>Graph</w:t>
            </w:r>
          </w:p>
        </w:tc>
        <w:tc>
          <w:tcPr>
            <w:tcW w:type="dxa" w:w="1984"/>
            <w:shd w:fill="F2F6FA" w:val="clear"/>
          </w:tcPr>
          <w:p>
            <w:r>
              <w:rPr>
                <w:rFonts w:ascii="Calibri" w:hAnsi="Calibri"/>
                <w:b w:val="0"/>
                <w:color w:val="333333"/>
                <w:sz w:val="18"/>
              </w:rPr>
              <w:t>Neo4j 5 (Aura in production)</w:t>
            </w:r>
          </w:p>
        </w:tc>
        <w:tc>
          <w:tcPr>
            <w:tcW w:type="dxa" w:w="2835"/>
            <w:shd w:fill="F2F6FA" w:val="clear"/>
          </w:tcPr>
          <w:p>
            <w:r>
              <w:rPr>
                <w:rFonts w:ascii="Calibri" w:hAnsi="Calibri"/>
                <w:b w:val="0"/>
                <w:color w:val="333333"/>
                <w:sz w:val="18"/>
              </w:rPr>
              <w:t>Entities, relationships, findings, current property values</w:t>
            </w:r>
          </w:p>
        </w:tc>
        <w:tc>
          <w:tcPr>
            <w:tcW w:type="dxa" w:w="3402"/>
            <w:shd w:fill="F2F6FA" w:val="clear"/>
          </w:tcPr>
          <w:p>
            <w:r>
              <w:rPr>
                <w:rFonts w:ascii="Calibri" w:hAnsi="Calibri"/>
                <w:b w:val="0"/>
                <w:color w:val="333333"/>
                <w:sz w:val="18"/>
              </w:rPr>
              <w:t>The twin's structure is a graph; traversal and topology are its native queries</w:t>
            </w:r>
          </w:p>
        </w:tc>
      </w:tr>
      <w:tr>
        <w:tc>
          <w:tcPr>
            <w:tcW w:type="dxa" w:w="1417"/>
          </w:tcPr>
          <w:p>
            <w:r>
              <w:rPr>
                <w:rFonts w:ascii="Calibri" w:hAnsi="Calibri"/>
                <w:b w:val="0"/>
                <w:color w:val="333333"/>
                <w:sz w:val="18"/>
              </w:rPr>
              <w:t>Event bus</w:t>
            </w:r>
          </w:p>
        </w:tc>
        <w:tc>
          <w:tcPr>
            <w:tcW w:type="dxa" w:w="1984"/>
          </w:tcPr>
          <w:p>
            <w:r>
              <w:rPr>
                <w:rFonts w:ascii="Calibri" w:hAnsi="Calibri"/>
                <w:b w:val="0"/>
                <w:color w:val="333333"/>
                <w:sz w:val="18"/>
              </w:rPr>
              <w:t>Redis 7 Streams</w:t>
            </w:r>
          </w:p>
        </w:tc>
        <w:tc>
          <w:tcPr>
            <w:tcW w:type="dxa" w:w="2835"/>
          </w:tcPr>
          <w:p>
            <w:r>
              <w:rPr>
                <w:rFonts w:ascii="Calibri" w:hAnsi="Calibri"/>
                <w:b w:val="0"/>
                <w:color w:val="333333"/>
                <w:sz w:val="18"/>
              </w:rPr>
              <w:t>One stream per tenant, plus twin ownership leases and command queues</w:t>
            </w:r>
          </w:p>
        </w:tc>
        <w:tc>
          <w:tcPr>
            <w:tcW w:type="dxa" w:w="3402"/>
          </w:tcPr>
          <w:p>
            <w:r>
              <w:rPr>
                <w:rFonts w:ascii="Calibri" w:hAnsi="Calibri"/>
                <w:b w:val="0"/>
                <w:color w:val="333333"/>
                <w:sz w:val="18"/>
              </w:rPr>
              <w:t>Live fan-out to every task and a lease primitive with a short, reliable expiry</w:t>
            </w:r>
          </w:p>
        </w:tc>
      </w:tr>
      <w:tr>
        <w:tc>
          <w:tcPr>
            <w:tcW w:type="dxa" w:w="1417"/>
            <w:shd w:fill="F2F6FA" w:val="clear"/>
          </w:tcPr>
          <w:p>
            <w:r>
              <w:rPr>
                <w:rFonts w:ascii="Calibri" w:hAnsi="Calibri"/>
                <w:b w:val="0"/>
                <w:color w:val="333333"/>
                <w:sz w:val="18"/>
              </w:rPr>
              <w:t>Blobs</w:t>
            </w:r>
          </w:p>
        </w:tc>
        <w:tc>
          <w:tcPr>
            <w:tcW w:type="dxa" w:w="1984"/>
            <w:shd w:fill="F2F6FA" w:val="clear"/>
          </w:tcPr>
          <w:p>
            <w:r>
              <w:rPr>
                <w:rFonts w:ascii="Calibri" w:hAnsi="Calibri"/>
                <w:b w:val="0"/>
                <w:color w:val="333333"/>
                <w:sz w:val="18"/>
              </w:rPr>
              <w:t>S3 (local filesystem fallback)</w:t>
            </w:r>
          </w:p>
        </w:tc>
        <w:tc>
          <w:tcPr>
            <w:tcW w:type="dxa" w:w="2835"/>
            <w:shd w:fill="F2F6FA" w:val="clear"/>
          </w:tcPr>
          <w:p>
            <w:r>
              <w:rPr>
                <w:rFonts w:ascii="Calibri" w:hAnsi="Calibri"/>
                <w:b w:val="0"/>
                <w:color w:val="333333"/>
                <w:sz w:val="18"/>
              </w:rPr>
              <w:t>Generated GLBs and 3-D job artifacts</w:t>
            </w:r>
          </w:p>
        </w:tc>
        <w:tc>
          <w:tcPr>
            <w:tcW w:type="dxa" w:w="3402"/>
            <w:shd w:fill="F2F6FA" w:val="clear"/>
          </w:tcPr>
          <w:p>
            <w:r>
              <w:rPr>
                <w:rFonts w:ascii="Calibri" w:hAnsi="Calibri"/>
                <w:b w:val="0"/>
                <w:color w:val="333333"/>
                <w:sz w:val="18"/>
              </w:rPr>
              <w:t>Key-addressed so any task serves any model; presigned URLs keep large files off API workers</w:t>
            </w:r>
          </w:p>
        </w:tc>
      </w:tr>
    </w:tbl>
    <w:p/>
    <w:p>
      <w:pPr>
        <w:pStyle w:val="Heading2"/>
      </w:pPr>
      <w:r>
        <w:rPr>
          <w:rFonts w:ascii="Calibri" w:hAnsi="Calibri"/>
          <w:color w:val="1B2A4A"/>
        </w:rPr>
        <w:t>2.1 Entity Relationship Diagram</w:t>
      </w:r>
    </w:p>
    <w:p>
      <w:pPr>
        <w:spacing w:after="120"/>
      </w:pPr>
      <w:r>
        <w:rPr>
          <w:rFonts w:ascii="Calibri" w:hAnsi="Calibri"/>
          <w:b w:val="0"/>
          <w:color w:val="333333"/>
          <w:sz w:val="22"/>
        </w:rPr>
        <w:t>The diagram below shows all relational tables grouped by domain, with primary keys and the graph model's ten closed taxonomy categories:</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4_erd.png"/>
                    <pic:cNvPicPr/>
                  </pic:nvPicPr>
                  <pic:blipFill>
                    <a:blip r:embed="rId9"/>
                    <a:stretch>
                      <a:fillRect/>
                    </a:stretch>
                  </pic:blipFill>
                  <pic:spPr>
                    <a:xfrm>
                      <a:off x="0" y="0"/>
                      <a:ext cx="5943600" cy="3714750"/>
                    </a:xfrm>
                    <a:prstGeom prst="rect"/>
                  </pic:spPr>
                </pic:pic>
              </a:graphicData>
            </a:graphic>
          </wp:inline>
        </w:drawing>
      </w:r>
    </w:p>
    <w:p>
      <w:pPr>
        <w:jc w:val="center"/>
      </w:pPr>
      <w:r>
        <w:rPr>
          <w:rFonts w:ascii="Calibri" w:hAnsi="Calibri"/>
          <w:i/>
          <w:color w:val="666666"/>
          <w:sz w:val="18"/>
        </w:rPr>
        <w:t>Figure 1: NextXR Data Model — 9 Relational Tables, 3 Rollups and the Graph Model</w:t>
      </w:r>
    </w:p>
    <w:p/>
    <w:p>
      <w:pPr>
        <w:spacing w:after="120"/>
      </w:pPr>
      <w:r>
        <w:rPr>
          <w:rFonts w:ascii="Calibri" w:hAnsi="Calibri"/>
          <w:b w:val="0"/>
          <w:color w:val="333333"/>
          <w:sz w:val="22"/>
        </w:rPr>
        <w:t>The relational schema is organised into six domains:</w:t>
      </w:r>
    </w:p>
    <w:tbl>
      <w:tblPr>
        <w:tblW w:type="auto" w:w="0"/>
        <w:jc w:val="center"/>
        <w:tblLook w:firstColumn="1" w:firstRow="1" w:lastColumn="0" w:lastRow="0" w:noHBand="0" w:noVBand="1" w:val="04A0"/>
      </w:tblPr>
      <w:tblGrid>
        <w:gridCol w:w="2880"/>
        <w:gridCol w:w="2880"/>
        <w:gridCol w:w="2880"/>
      </w:tblGrid>
      <w:tr>
        <w:tc>
          <w:tcPr>
            <w:tcW w:type="dxa" w:w="1984"/>
            <w:shd w:fill="1B2A4A" w:val="clear"/>
          </w:tcPr>
          <w:p>
            <w:r>
              <w:rPr>
                <w:rFonts w:ascii="Calibri" w:hAnsi="Calibri"/>
                <w:b/>
                <w:color w:val="FFFFFF"/>
                <w:sz w:val="20"/>
              </w:rPr>
              <w:t>Domain</w:t>
            </w:r>
          </w:p>
        </w:tc>
        <w:tc>
          <w:tcPr>
            <w:tcW w:type="dxa" w:w="3402"/>
            <w:shd w:fill="1B2A4A" w:val="clear"/>
          </w:tcPr>
          <w:p>
            <w:r>
              <w:rPr>
                <w:rFonts w:ascii="Calibri" w:hAnsi="Calibri"/>
                <w:b/>
                <w:color w:val="FFFFFF"/>
                <w:sz w:val="20"/>
              </w:rPr>
              <w:t>Tables</w:t>
            </w:r>
          </w:p>
        </w:tc>
        <w:tc>
          <w:tcPr>
            <w:tcW w:type="dxa" w:w="4252"/>
            <w:shd w:fill="1B2A4A" w:val="clear"/>
          </w:tcPr>
          <w:p>
            <w:r>
              <w:rPr>
                <w:rFonts w:ascii="Calibri" w:hAnsi="Calibri"/>
                <w:b/>
                <w:color w:val="FFFFFF"/>
                <w:sz w:val="20"/>
              </w:rPr>
              <w:t>Purpose</w:t>
            </w:r>
          </w:p>
        </w:tc>
      </w:tr>
      <w:tr>
        <w:tc>
          <w:tcPr>
            <w:tcW w:type="dxa" w:w="1984"/>
            <w:shd w:fill="F2F6FA" w:val="clear"/>
          </w:tcPr>
          <w:p>
            <w:r>
              <w:rPr>
                <w:rFonts w:ascii="Calibri" w:hAnsi="Calibri"/>
                <w:b w:val="0"/>
                <w:color w:val="333333"/>
                <w:sz w:val="18"/>
              </w:rPr>
              <w:t>Twin Registry</w:t>
            </w:r>
          </w:p>
        </w:tc>
        <w:tc>
          <w:tcPr>
            <w:tcW w:type="dxa" w:w="3402"/>
            <w:shd w:fill="F2F6FA" w:val="clear"/>
          </w:tcPr>
          <w:p>
            <w:r>
              <w:rPr>
                <w:rFonts w:ascii="Calibri" w:hAnsi="Calibri"/>
                <w:b w:val="0"/>
                <w:color w:val="333333"/>
                <w:sz w:val="18"/>
              </w:rPr>
              <w:t>twins, scene_cache</w:t>
            </w:r>
          </w:p>
        </w:tc>
        <w:tc>
          <w:tcPr>
            <w:tcW w:type="dxa" w:w="4252"/>
            <w:shd w:fill="F2F6FA" w:val="clear"/>
          </w:tcPr>
          <w:p>
            <w:r>
              <w:rPr>
                <w:rFonts w:ascii="Calibri" w:hAnsi="Calibri"/>
                <w:b w:val="0"/>
                <w:color w:val="333333"/>
                <w:sz w:val="18"/>
              </w:rPr>
              <w:t>Which twins exist and the 3-D scene each renders</w:t>
            </w:r>
          </w:p>
        </w:tc>
      </w:tr>
      <w:tr>
        <w:tc>
          <w:tcPr>
            <w:tcW w:type="dxa" w:w="1984"/>
          </w:tcPr>
          <w:p>
            <w:r>
              <w:rPr>
                <w:rFonts w:ascii="Calibri" w:hAnsi="Calibri"/>
                <w:b w:val="0"/>
                <w:color w:val="333333"/>
                <w:sz w:val="18"/>
              </w:rPr>
              <w:t>Governance</w:t>
            </w:r>
          </w:p>
        </w:tc>
        <w:tc>
          <w:tcPr>
            <w:tcW w:type="dxa" w:w="3402"/>
          </w:tcPr>
          <w:p>
            <w:r>
              <w:rPr>
                <w:rFonts w:ascii="Calibri" w:hAnsi="Calibri"/>
                <w:b w:val="0"/>
                <w:color w:val="333333"/>
                <w:sz w:val="18"/>
              </w:rPr>
              <w:t>events</w:t>
            </w:r>
          </w:p>
        </w:tc>
        <w:tc>
          <w:tcPr>
            <w:tcW w:type="dxa" w:w="4252"/>
          </w:tcPr>
          <w:p>
            <w:r>
              <w:rPr>
                <w:rFonts w:ascii="Calibri" w:hAnsi="Calibri"/>
                <w:b w:val="0"/>
                <w:color w:val="333333"/>
                <w:sz w:val="18"/>
              </w:rPr>
              <w:t>The per-tenant tamper-evident change log</w:t>
            </w:r>
          </w:p>
        </w:tc>
      </w:tr>
      <w:tr>
        <w:tc>
          <w:tcPr>
            <w:tcW w:type="dxa" w:w="1984"/>
            <w:shd w:fill="F2F6FA" w:val="clear"/>
          </w:tcPr>
          <w:p>
            <w:r>
              <w:rPr>
                <w:rFonts w:ascii="Calibri" w:hAnsi="Calibri"/>
                <w:b w:val="0"/>
                <w:color w:val="333333"/>
                <w:sz w:val="18"/>
              </w:rPr>
              <w:t>Agents &amp; Capability</w:t>
            </w:r>
          </w:p>
        </w:tc>
        <w:tc>
          <w:tcPr>
            <w:tcW w:type="dxa" w:w="3402"/>
            <w:shd w:fill="F2F6FA" w:val="clear"/>
          </w:tcPr>
          <w:p>
            <w:r>
              <w:rPr>
                <w:rFonts w:ascii="Calibri" w:hAnsi="Calibri"/>
                <w:b w:val="0"/>
                <w:color w:val="333333"/>
                <w:sz w:val="18"/>
              </w:rPr>
              <w:t>published_bundles, checkpoints</w:t>
            </w:r>
          </w:p>
        </w:tc>
        <w:tc>
          <w:tcPr>
            <w:tcW w:type="dxa" w:w="4252"/>
            <w:shd w:fill="F2F6FA" w:val="clear"/>
          </w:tcPr>
          <w:p>
            <w:r>
              <w:rPr>
                <w:rFonts w:ascii="Calibri" w:hAnsi="Calibri"/>
                <w:b w:val="0"/>
                <w:color w:val="333333"/>
                <w:sz w:val="18"/>
              </w:rPr>
              <w:t>Agent-authored bundles and resumable graph state</w:t>
            </w:r>
          </w:p>
        </w:tc>
      </w:tr>
      <w:tr>
        <w:tc>
          <w:tcPr>
            <w:tcW w:type="dxa" w:w="1984"/>
          </w:tcPr>
          <w:p>
            <w:r>
              <w:rPr>
                <w:rFonts w:ascii="Calibri" w:hAnsi="Calibri"/>
                <w:b w:val="0"/>
                <w:color w:val="333333"/>
                <w:sz w:val="18"/>
              </w:rPr>
              <w:t>3-D Reconstruction</w:t>
            </w:r>
          </w:p>
        </w:tc>
        <w:tc>
          <w:tcPr>
            <w:tcW w:type="dxa" w:w="3402"/>
          </w:tcPr>
          <w:p>
            <w:r>
              <w:rPr>
                <w:rFonts w:ascii="Calibri" w:hAnsi="Calibri"/>
                <w:b w:val="0"/>
                <w:color w:val="333333"/>
                <w:sz w:val="18"/>
              </w:rPr>
              <w:t>threed_jobs</w:t>
            </w:r>
          </w:p>
        </w:tc>
        <w:tc>
          <w:tcPr>
            <w:tcW w:type="dxa" w:w="4252"/>
          </w:tcPr>
          <w:p>
            <w:r>
              <w:rPr>
                <w:rFonts w:ascii="Calibri" w:hAnsi="Calibri"/>
                <w:b w:val="0"/>
                <w:color w:val="333333"/>
                <w:sz w:val="18"/>
              </w:rPr>
              <w:t>Photo-to-GLB job records (artifacts live in S3)</w:t>
            </w:r>
          </w:p>
        </w:tc>
      </w:tr>
      <w:tr>
        <w:tc>
          <w:tcPr>
            <w:tcW w:type="dxa" w:w="1984"/>
            <w:shd w:fill="F2F6FA" w:val="clear"/>
          </w:tcPr>
          <w:p>
            <w:r>
              <w:rPr>
                <w:rFonts w:ascii="Calibri" w:hAnsi="Calibri"/>
                <w:b w:val="0"/>
                <w:color w:val="333333"/>
                <w:sz w:val="18"/>
              </w:rPr>
              <w:t>Edge / Field</w:t>
            </w:r>
          </w:p>
        </w:tc>
        <w:tc>
          <w:tcPr>
            <w:tcW w:type="dxa" w:w="3402"/>
            <w:shd w:fill="F2F6FA" w:val="clear"/>
          </w:tcPr>
          <w:p>
            <w:r>
              <w:rPr>
                <w:rFonts w:ascii="Calibri" w:hAnsi="Calibri"/>
                <w:b w:val="0"/>
                <w:color w:val="333333"/>
                <w:sz w:val="18"/>
              </w:rPr>
              <w:t>ingest_devices, connectors</w:t>
            </w:r>
          </w:p>
        </w:tc>
        <w:tc>
          <w:tcPr>
            <w:tcW w:type="dxa" w:w="4252"/>
            <w:shd w:fill="F2F6FA" w:val="clear"/>
          </w:tcPr>
          <w:p>
            <w:r>
              <w:rPr>
                <w:rFonts w:ascii="Calibri" w:hAnsi="Calibri"/>
                <w:b w:val="0"/>
                <w:color w:val="333333"/>
                <w:sz w:val="18"/>
              </w:rPr>
              <w:t>Telemetry device identities and field-protocol configuration</w:t>
            </w:r>
          </w:p>
        </w:tc>
      </w:tr>
      <w:tr>
        <w:tc>
          <w:tcPr>
            <w:tcW w:type="dxa" w:w="1984"/>
          </w:tcPr>
          <w:p>
            <w:r>
              <w:rPr>
                <w:rFonts w:ascii="Calibri" w:hAnsi="Calibri"/>
                <w:b w:val="0"/>
                <w:color w:val="333333"/>
                <w:sz w:val="18"/>
              </w:rPr>
              <w:t>Historian</w:t>
            </w:r>
          </w:p>
        </w:tc>
        <w:tc>
          <w:tcPr>
            <w:tcW w:type="dxa" w:w="3402"/>
          </w:tcPr>
          <w:p>
            <w:r>
              <w:rPr>
                <w:rFonts w:ascii="Calibri" w:hAnsi="Calibri"/>
                <w:b w:val="0"/>
                <w:color w:val="333333"/>
                <w:sz w:val="18"/>
              </w:rPr>
              <w:t>measurements + measurements_1m/_1h/_1d</w:t>
            </w:r>
          </w:p>
        </w:tc>
        <w:tc>
          <w:tcPr>
            <w:tcW w:type="dxa" w:w="4252"/>
          </w:tcPr>
          <w:p>
            <w:r>
              <w:rPr>
                <w:rFonts w:ascii="Calibri" w:hAnsi="Calibri"/>
                <w:b w:val="0"/>
                <w:color w:val="333333"/>
                <w:sz w:val="18"/>
              </w:rPr>
              <w:t>Raw measurements and their incremental rollups</w:t>
            </w:r>
          </w:p>
        </w:tc>
      </w:tr>
    </w:tbl>
    <w:p/>
    <w:p>
      <w:r>
        <w:br w:type="page"/>
      </w:r>
    </w:p>
    <w:p>
      <w:pPr>
        <w:pStyle w:val="Heading1"/>
      </w:pPr>
      <w:r>
        <w:rPr>
          <w:rFonts w:ascii="Calibri" w:hAnsi="Calibri"/>
          <w:color w:val="1B2A4A"/>
        </w:rPr>
        <w:t>3. Data Dictionary</w:t>
      </w:r>
    </w:p>
    <w:p>
      <w:pPr>
        <w:spacing w:after="120"/>
      </w:pPr>
      <w:r>
        <w:rPr>
          <w:rFonts w:ascii="Calibri" w:hAnsi="Calibri"/>
          <w:b w:val="0"/>
          <w:color w:val="333333"/>
          <w:sz w:val="22"/>
        </w:rPr>
        <w:t>Complete column-level specification for every table, grouped by domain. Types are shown for the PostgreSQL dialect; db/schema.py renders the SQLite equivalents (JSONB → TEXT, TIMESTAMPTZ → TEXT, DOUBLE PRECISION → REAL, BIGSERIAL → INTEGER AUTOINCREMENT) from a single fragment table.</w:t>
      </w:r>
    </w:p>
    <w:p>
      <w:pPr>
        <w:pStyle w:val="Heading2"/>
      </w:pPr>
      <w:r>
        <w:rPr>
          <w:rFonts w:ascii="Calibri" w:hAnsi="Calibri"/>
          <w:color w:val="1B2A4A"/>
        </w:rPr>
        <w:t>3.1 Twin Registry</w:t>
      </w:r>
    </w:p>
    <w:p>
      <w:pPr>
        <w:pStyle w:val="Heading3"/>
      </w:pPr>
      <w:r>
        <w:rPr>
          <w:rFonts w:ascii="Calibri" w:hAnsi="Calibri"/>
          <w:color w:val="1B2A4A"/>
        </w:rPr>
        <w:t>twins</w:t>
      </w:r>
    </w:p>
    <w:p>
      <w:pPr>
        <w:spacing w:after="80"/>
      </w:pPr>
      <w:r>
        <w:rPr>
          <w:rFonts w:ascii="Calibri" w:hAnsi="Calibri"/>
          <w:b w:val="0"/>
          <w:color w:val="666666"/>
          <w:sz w:val="18"/>
        </w:rPr>
        <w:t>The twin registry. A twin is one isolated platform instance keyed by tenant_id; this table holds only metadata (which twins exist, their name, domain template and seed asset). The entities themselves live in Neo4j under the tenant_id.</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tenant_id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 and the platform's isolation key</w:t>
            </w:r>
          </w:p>
        </w:tc>
      </w:tr>
      <w:tr>
        <w:tc>
          <w:tcPr>
            <w:tcW w:type="dxa" w:w="1984"/>
          </w:tcPr>
          <w:p>
            <w:r>
              <w:rPr>
                <w:rFonts w:ascii="Calibri" w:hAnsi="Calibri"/>
                <w:b w:val="0"/>
                <w:color w:val="333333"/>
                <w:sz w:val="18"/>
              </w:rPr>
              <w:t>name</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Display name of the twin</w:t>
            </w:r>
          </w:p>
        </w:tc>
      </w:tr>
      <w:tr>
        <w:tc>
          <w:tcPr>
            <w:tcW w:type="dxa" w:w="1984"/>
            <w:shd w:fill="F2F6FA" w:val="clear"/>
          </w:tcPr>
          <w:p>
            <w:r>
              <w:rPr>
                <w:rFonts w:ascii="Calibri" w:hAnsi="Calibri"/>
                <w:b w:val="0"/>
                <w:color w:val="333333"/>
                <w:sz w:val="18"/>
              </w:rPr>
              <w:t>domain</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Seeding template / machine-twin domain key</w:t>
            </w:r>
          </w:p>
        </w:tc>
      </w:tr>
      <w:tr>
        <w:tc>
          <w:tcPr>
            <w:tcW w:type="dxa" w:w="1984"/>
          </w:tcPr>
          <w:p>
            <w:r>
              <w:rPr>
                <w:rFonts w:ascii="Calibri" w:hAnsi="Calibri"/>
                <w:b w:val="0"/>
                <w:color w:val="333333"/>
                <w:sz w:val="18"/>
              </w:rPr>
              <w:t>description</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Free-text description</w:t>
            </w:r>
          </w:p>
        </w:tc>
      </w:tr>
      <w:tr>
        <w:tc>
          <w:tcPr>
            <w:tcW w:type="dxa" w:w="1984"/>
            <w:shd w:fill="F2F6FA" w:val="clear"/>
          </w:tcPr>
          <w:p>
            <w:r>
              <w:rPr>
                <w:rFonts w:ascii="Calibri" w:hAnsi="Calibri"/>
                <w:b w:val="0"/>
                <w:color w:val="333333"/>
                <w:sz w:val="18"/>
              </w:rPr>
              <w:t>created_at</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ISO-8601 UTC creation timestamp</w:t>
            </w:r>
          </w:p>
        </w:tc>
      </w:tr>
      <w:tr>
        <w:tc>
          <w:tcPr>
            <w:tcW w:type="dxa" w:w="1984"/>
          </w:tcPr>
          <w:p>
            <w:r>
              <w:rPr>
                <w:rFonts w:ascii="Calibri" w:hAnsi="Calibri"/>
                <w:b w:val="0"/>
                <w:color w:val="333333"/>
                <w:sz w:val="18"/>
              </w:rPr>
              <w:t>seed_asset_id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Node id of the asset the feed and runtime target</w:t>
            </w:r>
          </w:p>
        </w:tc>
      </w:tr>
    </w:tbl>
    <w:p/>
    <w:p>
      <w:pPr>
        <w:pStyle w:val="Heading3"/>
      </w:pPr>
      <w:r>
        <w:rPr>
          <w:rFonts w:ascii="Calibri" w:hAnsi="Calibri"/>
          <w:color w:val="1B2A4A"/>
        </w:rPr>
        <w:t>scene_cache</w:t>
      </w:r>
    </w:p>
    <w:p>
      <w:pPr>
        <w:spacing w:after="80"/>
      </w:pPr>
      <w:r>
        <w:rPr>
          <w:rFonts w:ascii="Calibri" w:hAnsi="Calibri"/>
          <w:b w:val="0"/>
          <w:color w:val="666666"/>
          <w:sz w:val="18"/>
        </w:rPr>
        <w:t>BIM scene graphs for the 3-D viewer. Previously one JSON file per tenant on the task's data volume, which is per-task state: task A builds a scene, task B serves the next request and has never seen it. Moving it here is what keeps the viewer correct above one task.</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tenant_id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 one cached scene per twin</w:t>
            </w:r>
          </w:p>
        </w:tc>
      </w:tr>
      <w:tr>
        <w:tc>
          <w:tcPr>
            <w:tcW w:type="dxa" w:w="1984"/>
          </w:tcPr>
          <w:p>
            <w:r>
              <w:rPr>
                <w:rFonts w:ascii="Calibri" w:hAnsi="Calibri"/>
                <w:b w:val="0"/>
                <w:color w:val="333333"/>
                <w:sz w:val="18"/>
              </w:rPr>
              <w:t>scene</w:t>
            </w:r>
          </w:p>
        </w:tc>
        <w:tc>
          <w:tcPr>
            <w:tcW w:type="dxa" w:w="1587"/>
          </w:tcPr>
          <w:p>
            <w:r>
              <w:rPr>
                <w:rFonts w:ascii="Calibri" w:hAnsi="Calibri"/>
                <w:b w:val="0"/>
                <w:color w:val="333333"/>
                <w:sz w:val="18"/>
              </w:rPr>
              <w:t>JSONB</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The scene graph: storeys, spaces, walls, equipment placements</w:t>
            </w:r>
          </w:p>
        </w:tc>
      </w:tr>
      <w:tr>
        <w:tc>
          <w:tcPr>
            <w:tcW w:type="dxa" w:w="1984"/>
            <w:shd w:fill="F2F6FA" w:val="clear"/>
          </w:tcPr>
          <w:p>
            <w:r>
              <w:rPr>
                <w:rFonts w:ascii="Calibri" w:hAnsi="Calibri"/>
                <w:b w:val="0"/>
                <w:color w:val="333333"/>
                <w:sz w:val="18"/>
              </w:rPr>
              <w:t>updated_at</w:t>
            </w:r>
          </w:p>
        </w:tc>
        <w:tc>
          <w:tcPr>
            <w:tcW w:type="dxa" w:w="1587"/>
            <w:shd w:fill="F2F6FA" w:val="clear"/>
          </w:tcPr>
          <w:p>
            <w:r>
              <w:rPr>
                <w:rFonts w:ascii="Calibri" w:hAnsi="Calibri"/>
                <w:b w:val="0"/>
                <w:color w:val="333333"/>
                <w:sz w:val="18"/>
              </w:rPr>
              <w:t>TIMESTAMPTZ</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CURRENT_TIMESTAMP</w:t>
            </w:r>
          </w:p>
        </w:tc>
        <w:tc>
          <w:tcPr>
            <w:tcW w:type="dxa" w:w="3969"/>
            <w:shd w:fill="F2F6FA" w:val="clear"/>
          </w:tcPr>
          <w:p>
            <w:r>
              <w:rPr>
                <w:rFonts w:ascii="Calibri" w:hAnsi="Calibri"/>
                <w:b w:val="0"/>
                <w:color w:val="333333"/>
                <w:sz w:val="18"/>
              </w:rPr>
              <w:t>Last rebuild time</w:t>
            </w:r>
          </w:p>
        </w:tc>
      </w:tr>
    </w:tbl>
    <w:p/>
    <w:p>
      <w:pPr>
        <w:pStyle w:val="Heading2"/>
      </w:pPr>
      <w:r>
        <w:rPr>
          <w:rFonts w:ascii="Calibri" w:hAnsi="Calibri"/>
          <w:color w:val="1B2A4A"/>
        </w:rPr>
        <w:t>3.2 Governance</w:t>
      </w:r>
    </w:p>
    <w:p>
      <w:pPr>
        <w:pStyle w:val="Heading3"/>
      </w:pPr>
      <w:r>
        <w:rPr>
          <w:rFonts w:ascii="Calibri" w:hAnsi="Calibri"/>
          <w:color w:val="1B2A4A"/>
        </w:rPr>
        <w:t>events</w:t>
      </w:r>
    </w:p>
    <w:p>
      <w:pPr>
        <w:spacing w:after="80"/>
      </w:pPr>
      <w:r>
        <w:rPr>
          <w:rFonts w:ascii="Calibri" w:hAnsi="Calibri"/>
          <w:b w:val="0"/>
          <w:color w:val="666666"/>
          <w:sz w:val="18"/>
        </w:rPr>
        <w:t>The governance change log: a per-tenant, tamper-evident hash chain of every graph mutation. The prev_event_hash to wm_hash linkage means changing any stored field of an old event breaks every hash after it. Appends serialise per tenant under a PostgreSQL advisory lock so a chain cannot fork.</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seq</w:t>
            </w:r>
          </w:p>
        </w:tc>
        <w:tc>
          <w:tcPr>
            <w:tcW w:type="dxa" w:w="1587"/>
            <w:shd w:fill="F2F6FA" w:val="clear"/>
          </w:tcPr>
          <w:p>
            <w:r>
              <w:rPr>
                <w:rFonts w:ascii="Calibri" w:hAnsi="Calibri"/>
                <w:b w:val="0"/>
                <w:color w:val="333333"/>
                <w:sz w:val="18"/>
              </w:rPr>
              <w:t>BIGSERIAL</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auto</w:t>
            </w:r>
          </w:p>
        </w:tc>
        <w:tc>
          <w:tcPr>
            <w:tcW w:type="dxa" w:w="3969"/>
            <w:shd w:fill="F2F6FA" w:val="clear"/>
          </w:tcPr>
          <w:p>
            <w:r>
              <w:rPr>
                <w:rFonts w:ascii="Calibri" w:hAnsi="Calibri"/>
                <w:b w:val="0"/>
                <w:color w:val="333333"/>
                <w:sz w:val="18"/>
              </w:rPr>
              <w:t>Orders a tenant's chain; gaps from rolled-back transactions are fine because verification walks the hash linkage</w:t>
            </w:r>
          </w:p>
        </w:tc>
      </w:tr>
      <w:tr>
        <w:tc>
          <w:tcPr>
            <w:tcW w:type="dxa" w:w="1984"/>
          </w:tcPr>
          <w:p>
            <w:r>
              <w:rPr>
                <w:rFonts w:ascii="Calibri" w:hAnsi="Calibri"/>
                <w:b w:val="0"/>
                <w:color w:val="333333"/>
                <w:sz w:val="18"/>
              </w:rPr>
              <w:t>event_id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ULID — time-ordered and lexically sortable; UNIQUE</w:t>
            </w:r>
          </w:p>
        </w:tc>
      </w:tr>
      <w:tr>
        <w:tc>
          <w:tcPr>
            <w:tcW w:type="dxa" w:w="1984"/>
            <w:shd w:fill="F2F6FA" w:val="clear"/>
          </w:tcPr>
          <w:p>
            <w:r>
              <w:rPr>
                <w:rFonts w:ascii="Calibri" w:hAnsi="Calibri"/>
                <w:b w:val="0"/>
                <w:color w:val="333333"/>
                <w:sz w:val="18"/>
              </w:rPr>
              <w:t>tenant_id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Isolation key; chains are per tenant</w:t>
            </w:r>
          </w:p>
        </w:tc>
      </w:tr>
      <w:tr>
        <w:tc>
          <w:tcPr>
            <w:tcW w:type="dxa" w:w="1984"/>
          </w:tcPr>
          <w:p>
            <w:r>
              <w:rPr>
                <w:rFonts w:ascii="Calibri" w:hAnsi="Calibri"/>
                <w:b w:val="0"/>
                <w:color w:val="333333"/>
                <w:sz w:val="18"/>
              </w:rPr>
              <w:t>entity_id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The node this event is about</w:t>
            </w:r>
          </w:p>
        </w:tc>
      </w:tr>
      <w:tr>
        <w:tc>
          <w:tcPr>
            <w:tcW w:type="dxa" w:w="1984"/>
            <w:shd w:fill="F2F6FA" w:val="clear"/>
          </w:tcPr>
          <w:p>
            <w:r>
              <w:rPr>
                <w:rFonts w:ascii="Calibri" w:hAnsi="Calibri"/>
                <w:b w:val="0"/>
                <w:color w:val="333333"/>
                <w:sz w:val="18"/>
              </w:rPr>
              <w:t>entity_type</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Canonical class IRI</w:t>
            </w:r>
          </w:p>
        </w:tc>
      </w:tr>
      <w:tr>
        <w:tc>
          <w:tcPr>
            <w:tcW w:type="dxa" w:w="1984"/>
          </w:tcPr>
          <w:p>
            <w:r>
              <w:rPr>
                <w:rFonts w:ascii="Calibri" w:hAnsi="Calibri"/>
                <w:b w:val="0"/>
                <w:color w:val="333333"/>
                <w:sz w:val="18"/>
              </w:rPr>
              <w:t>actor</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Who or what caused the mutation (user, agent, connector, runtime)</w:t>
            </w:r>
          </w:p>
        </w:tc>
      </w:tr>
      <w:tr>
        <w:tc>
          <w:tcPr>
            <w:tcW w:type="dxa" w:w="1984"/>
            <w:shd w:fill="F2F6FA" w:val="clear"/>
          </w:tcPr>
          <w:p>
            <w:r>
              <w:rPr>
                <w:rFonts w:ascii="Calibri" w:hAnsi="Calibri"/>
                <w:b w:val="0"/>
                <w:color w:val="333333"/>
                <w:sz w:val="18"/>
              </w:rPr>
              <w:t>action</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create | update | delete</w:t>
            </w:r>
          </w:p>
        </w:tc>
      </w:tr>
      <w:tr>
        <w:tc>
          <w:tcPr>
            <w:tcW w:type="dxa" w:w="1984"/>
          </w:tcPr>
          <w:p>
            <w:r>
              <w:rPr>
                <w:rFonts w:ascii="Calibri" w:hAnsi="Calibri"/>
                <w:b w:val="0"/>
                <w:color w:val="333333"/>
                <w:sz w:val="18"/>
              </w:rPr>
              <w:t>field_changes</w:t>
            </w:r>
          </w:p>
        </w:tc>
        <w:tc>
          <w:tcPr>
            <w:tcW w:type="dxa" w:w="1587"/>
          </w:tcPr>
          <w:p>
            <w:r>
              <w:rPr>
                <w:rFonts w:ascii="Calibri" w:hAnsi="Calibri"/>
                <w:b w:val="0"/>
                <w:color w:val="333333"/>
                <w:sz w:val="18"/>
              </w:rPr>
              <w:t>JSONB</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 field: {old, new} } — queryable in place, not opaque text</w:t>
            </w:r>
          </w:p>
        </w:tc>
      </w:tr>
      <w:tr>
        <w:tc>
          <w:tcPr>
            <w:tcW w:type="dxa" w:w="1984"/>
            <w:shd w:fill="F2F6FA" w:val="clear"/>
          </w:tcPr>
          <w:p>
            <w:r>
              <w:rPr>
                <w:rFonts w:ascii="Calibri" w:hAnsi="Calibri"/>
                <w:b w:val="0"/>
                <w:color w:val="333333"/>
                <w:sz w:val="18"/>
              </w:rPr>
              <w:t>ts</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ISO-8601 UTC event time</w:t>
            </w:r>
          </w:p>
        </w:tc>
      </w:tr>
      <w:tr>
        <w:tc>
          <w:tcPr>
            <w:tcW w:type="dxa" w:w="1984"/>
          </w:tcPr>
          <w:p>
            <w:r>
              <w:rPr>
                <w:rFonts w:ascii="Calibri" w:hAnsi="Calibri"/>
                <w:b w:val="0"/>
                <w:color w:val="333333"/>
                <w:sz w:val="18"/>
              </w:rPr>
              <w:t>prev_event_hash</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wm_hash of the previous event in this tenant's chain</w:t>
            </w:r>
          </w:p>
        </w:tc>
      </w:tr>
      <w:tr>
        <w:tc>
          <w:tcPr>
            <w:tcW w:type="dxa" w:w="1984"/>
            <w:shd w:fill="F2F6FA" w:val="clear"/>
          </w:tcPr>
          <w:p>
            <w:r>
              <w:rPr>
                <w:rFonts w:ascii="Calibri" w:hAnsi="Calibri"/>
                <w:b w:val="0"/>
                <w:color w:val="333333"/>
                <w:sz w:val="18"/>
              </w:rPr>
              <w:t>wm_hash</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sha256 over canonical content including prev_event_hash</w:t>
            </w:r>
          </w:p>
        </w:tc>
      </w:tr>
    </w:tbl>
    <w:p/>
    <w:p>
      <w:pPr>
        <w:pStyle w:val="Heading2"/>
      </w:pPr>
      <w:r>
        <w:rPr>
          <w:rFonts w:ascii="Calibri" w:hAnsi="Calibri"/>
          <w:color w:val="1B2A4A"/>
        </w:rPr>
        <w:t>3.3 Agents &amp; Capability</w:t>
      </w:r>
    </w:p>
    <w:p>
      <w:pPr>
        <w:pStyle w:val="Heading3"/>
      </w:pPr>
      <w:r>
        <w:rPr>
          <w:rFonts w:ascii="Calibri" w:hAnsi="Calibri"/>
          <w:color w:val="1B2A4A"/>
        </w:rPr>
        <w:t>published_bundles</w:t>
      </w:r>
    </w:p>
    <w:p>
      <w:pPr>
        <w:spacing w:after="80"/>
      </w:pPr>
      <w:r>
        <w:rPr>
          <w:rFonts w:ascii="Calibri" w:hAnsi="Calibri"/>
          <w:b w:val="0"/>
          <w:color w:val="666666"/>
          <w:sz w:val="18"/>
        </w:rPr>
        <w:t>Capability bundles authored by the Bundle Author meta-agent. A bundle packages a vertical: the ontology classes it provides, ready-made entity templates and the Tier-C rules it ships. Persisting here is what lets a bundle published by one task load on every other task.</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bundle_id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w:t>
            </w:r>
          </w:p>
        </w:tc>
      </w:tr>
      <w:tr>
        <w:tc>
          <w:tcPr>
            <w:tcW w:type="dxa" w:w="1984"/>
          </w:tcPr>
          <w:p>
            <w:r>
              <w:rPr>
                <w:rFonts w:ascii="Calibri" w:hAnsi="Calibri"/>
                <w:b w:val="0"/>
                <w:color w:val="333333"/>
                <w:sz w:val="18"/>
              </w:rPr>
              <w:t>name</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Display name of the bundle</w:t>
            </w:r>
          </w:p>
        </w:tc>
      </w:tr>
      <w:tr>
        <w:tc>
          <w:tcPr>
            <w:tcW w:type="dxa" w:w="1984"/>
            <w:shd w:fill="F2F6FA" w:val="clear"/>
          </w:tcPr>
          <w:p>
            <w:r>
              <w:rPr>
                <w:rFonts w:ascii="Calibri" w:hAnsi="Calibri"/>
                <w:b w:val="0"/>
                <w:color w:val="333333"/>
                <w:sz w:val="18"/>
              </w:rPr>
              <w:t>domains</w:t>
            </w:r>
          </w:p>
        </w:tc>
        <w:tc>
          <w:tcPr>
            <w:tcW w:type="dxa" w:w="1587"/>
            <w:shd w:fill="F2F6FA" w:val="clear"/>
          </w:tcPr>
          <w:p>
            <w:r>
              <w:rPr>
                <w:rFonts w:ascii="Calibri" w:hAnsi="Calibri"/>
                <w:b w:val="0"/>
                <w:color w:val="333333"/>
                <w:sz w:val="18"/>
              </w:rPr>
              <w:t>JSONB</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Domain keywords the Composer matches on</w:t>
            </w:r>
          </w:p>
        </w:tc>
      </w:tr>
      <w:tr>
        <w:tc>
          <w:tcPr>
            <w:tcW w:type="dxa" w:w="1984"/>
          </w:tcPr>
          <w:p>
            <w:r>
              <w:rPr>
                <w:rFonts w:ascii="Calibri" w:hAnsi="Calibri"/>
                <w:b w:val="0"/>
                <w:color w:val="333333"/>
                <w:sz w:val="18"/>
              </w:rPr>
              <w:t>payload</w:t>
            </w:r>
          </w:p>
        </w:tc>
        <w:tc>
          <w:tcPr>
            <w:tcW w:type="dxa" w:w="1587"/>
          </w:tcPr>
          <w:p>
            <w:r>
              <w:rPr>
                <w:rFonts w:ascii="Calibri" w:hAnsi="Calibri"/>
                <w:b w:val="0"/>
                <w:color w:val="333333"/>
                <w:sz w:val="18"/>
              </w:rPr>
              <w:t>JSONB</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Entity templates, relationship templates and rules</w:t>
            </w:r>
          </w:p>
        </w:tc>
      </w:tr>
      <w:tr>
        <w:tc>
          <w:tcPr>
            <w:tcW w:type="dxa" w:w="1984"/>
            <w:shd w:fill="F2F6FA" w:val="clear"/>
          </w:tcPr>
          <w:p>
            <w:r>
              <w:rPr>
                <w:rFonts w:ascii="Calibri" w:hAnsi="Calibri"/>
                <w:b w:val="0"/>
                <w:color w:val="333333"/>
                <w:sz w:val="18"/>
              </w:rPr>
              <w:t>tenant_id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Owning tenant; NULL for a platform-wide bundle</w:t>
            </w:r>
          </w:p>
        </w:tc>
      </w:tr>
      <w:tr>
        <w:tc>
          <w:tcPr>
            <w:tcW w:type="dxa" w:w="1984"/>
          </w:tcPr>
          <w:p>
            <w:r>
              <w:rPr>
                <w:rFonts w:ascii="Calibri" w:hAnsi="Calibri"/>
                <w:b w:val="0"/>
                <w:color w:val="333333"/>
                <w:sz w:val="18"/>
              </w:rPr>
              <w:t>created_at</w:t>
            </w:r>
          </w:p>
        </w:tc>
        <w:tc>
          <w:tcPr>
            <w:tcW w:type="dxa" w:w="1587"/>
          </w:tcPr>
          <w:p>
            <w:r>
              <w:rPr>
                <w:rFonts w:ascii="Calibri" w:hAnsi="Calibri"/>
                <w:b w:val="0"/>
                <w:color w:val="333333"/>
                <w:sz w:val="18"/>
              </w:rPr>
              <w:t>TIMESTAMPTZ</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CURRENT_TIMESTAMP</w:t>
            </w:r>
          </w:p>
        </w:tc>
        <w:tc>
          <w:tcPr>
            <w:tcW w:type="dxa" w:w="3969"/>
          </w:tcPr>
          <w:p>
            <w:r>
              <w:rPr>
                <w:rFonts w:ascii="Calibri" w:hAnsi="Calibri"/>
                <w:b w:val="0"/>
                <w:color w:val="333333"/>
                <w:sz w:val="18"/>
              </w:rPr>
              <w:t>Publication time</w:t>
            </w:r>
          </w:p>
        </w:tc>
      </w:tr>
    </w:tbl>
    <w:p/>
    <w:p>
      <w:pPr>
        <w:pStyle w:val="Heading3"/>
      </w:pPr>
      <w:r>
        <w:rPr>
          <w:rFonts w:ascii="Calibri" w:hAnsi="Calibri"/>
          <w:color w:val="1B2A4A"/>
        </w:rPr>
        <w:t>checkpoints</w:t>
      </w:r>
    </w:p>
    <w:p>
      <w:pPr>
        <w:spacing w:after="80"/>
      </w:pPr>
      <w:r>
        <w:rPr>
          <w:rFonts w:ascii="Calibri" w:hAnsi="Calibri"/>
          <w:b w:val="0"/>
          <w:color w:val="666666"/>
          <w:sz w:val="18"/>
        </w:rPr>
        <w:t>Agent graph checkpoints. Because state lives here rather than in a task's memory, a run interrupted for human approval on one task resumes on another — which is why sticky sessions are not required.</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thread_id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 the agent session / conversation thread</w:t>
            </w:r>
          </w:p>
        </w:tc>
      </w:tr>
      <w:tr>
        <w:tc>
          <w:tcPr>
            <w:tcW w:type="dxa" w:w="1984"/>
          </w:tcPr>
          <w:p>
            <w:r>
              <w:rPr>
                <w:rFonts w:ascii="Calibri" w:hAnsi="Calibri"/>
                <w:b w:val="0"/>
                <w:color w:val="333333"/>
                <w:sz w:val="18"/>
              </w:rPr>
              <w:t>graph_name</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Which graph this thread belongs to (twin, bundle, ops, ...)</w:t>
            </w:r>
          </w:p>
        </w:tc>
      </w:tr>
      <w:tr>
        <w:tc>
          <w:tcPr>
            <w:tcW w:type="dxa" w:w="1984"/>
            <w:shd w:fill="F2F6FA" w:val="clear"/>
          </w:tcPr>
          <w:p>
            <w:r>
              <w:rPr>
                <w:rFonts w:ascii="Calibri" w:hAnsi="Calibri"/>
                <w:b w:val="0"/>
                <w:color w:val="333333"/>
                <w:sz w:val="18"/>
              </w:rPr>
              <w:t>state</w:t>
            </w:r>
          </w:p>
        </w:tc>
        <w:tc>
          <w:tcPr>
            <w:tcW w:type="dxa" w:w="1587"/>
            <w:shd w:fill="F2F6FA" w:val="clear"/>
          </w:tcPr>
          <w:p>
            <w:r>
              <w:rPr>
                <w:rFonts w:ascii="Calibri" w:hAnsi="Calibri"/>
                <w:b w:val="0"/>
                <w:color w:val="333333"/>
                <w:sz w:val="18"/>
              </w:rPr>
              <w:t>JSONB</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The merged graph state at the checkpoint</w:t>
            </w:r>
          </w:p>
        </w:tc>
      </w:tr>
      <w:tr>
        <w:tc>
          <w:tcPr>
            <w:tcW w:type="dxa" w:w="1984"/>
          </w:tcPr>
          <w:p>
            <w:r>
              <w:rPr>
                <w:rFonts w:ascii="Calibri" w:hAnsi="Calibri"/>
                <w:b w:val="0"/>
                <w:color w:val="333333"/>
                <w:sz w:val="18"/>
              </w:rPr>
              <w:t>resume_at</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Node to resume from after human approval</w:t>
            </w:r>
          </w:p>
        </w:tc>
      </w:tr>
      <w:tr>
        <w:tc>
          <w:tcPr>
            <w:tcW w:type="dxa" w:w="1984"/>
            <w:shd w:fill="F2F6FA" w:val="clear"/>
          </w:tcPr>
          <w:p>
            <w:r>
              <w:rPr>
                <w:rFonts w:ascii="Calibri" w:hAnsi="Calibri"/>
                <w:b w:val="0"/>
                <w:color w:val="333333"/>
                <w:sz w:val="18"/>
              </w:rPr>
              <w:t>updated_at</w:t>
            </w:r>
          </w:p>
        </w:tc>
        <w:tc>
          <w:tcPr>
            <w:tcW w:type="dxa" w:w="1587"/>
            <w:shd w:fill="F2F6FA" w:val="clear"/>
          </w:tcPr>
          <w:p>
            <w:r>
              <w:rPr>
                <w:rFonts w:ascii="Calibri" w:hAnsi="Calibri"/>
                <w:b w:val="0"/>
                <w:color w:val="333333"/>
                <w:sz w:val="18"/>
              </w:rPr>
              <w:t>TIMESTAMPTZ</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CURRENT_TIMESTAMP</w:t>
            </w:r>
          </w:p>
        </w:tc>
        <w:tc>
          <w:tcPr>
            <w:tcW w:type="dxa" w:w="3969"/>
            <w:shd w:fill="F2F6FA" w:val="clear"/>
          </w:tcPr>
          <w:p>
            <w:r>
              <w:rPr>
                <w:rFonts w:ascii="Calibri" w:hAnsi="Calibri"/>
                <w:b w:val="0"/>
                <w:color w:val="333333"/>
                <w:sz w:val="18"/>
              </w:rPr>
              <w:t>Last write</w:t>
            </w:r>
          </w:p>
        </w:tc>
      </w:tr>
    </w:tbl>
    <w:p/>
    <w:p>
      <w:pPr>
        <w:pStyle w:val="Heading2"/>
      </w:pPr>
      <w:r>
        <w:rPr>
          <w:rFonts w:ascii="Calibri" w:hAnsi="Calibri"/>
          <w:color w:val="1B2A4A"/>
        </w:rPr>
        <w:t>3.4 3-D Reconstruction</w:t>
      </w:r>
    </w:p>
    <w:p>
      <w:pPr>
        <w:pStyle w:val="Heading3"/>
      </w:pPr>
      <w:r>
        <w:rPr>
          <w:rFonts w:ascii="Calibri" w:hAnsi="Calibri"/>
          <w:color w:val="1B2A4A"/>
        </w:rPr>
        <w:t>threed_jobs</w:t>
      </w:r>
    </w:p>
    <w:p>
      <w:pPr>
        <w:spacing w:after="80"/>
      </w:pPr>
      <w:r>
        <w:rPr>
          <w:rFonts w:ascii="Calibri" w:hAnsi="Calibri"/>
          <w:b w:val="0"/>
          <w:color w:val="666666"/>
          <w:sz w:val="18"/>
        </w:rPr>
        <w:t>Photo-to-GLB reconstruction job records. Previously job.json on the task's own disk, so a browser polling job status through the load balancer got a 404 whenever the poll landed on a task that had not run the job. The heavy outputs live in the blob store; this is only the record.</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job_id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w:t>
            </w:r>
          </w:p>
        </w:tc>
      </w:tr>
      <w:tr>
        <w:tc>
          <w:tcPr>
            <w:tcW w:type="dxa" w:w="1984"/>
          </w:tcPr>
          <w:p>
            <w:r>
              <w:rPr>
                <w:rFonts w:ascii="Calibri" w:hAnsi="Calibri"/>
                <w:b w:val="0"/>
                <w:color w:val="333333"/>
                <w:sz w:val="18"/>
              </w:rPr>
              <w:t>status</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queued | running | completed | failed</w:t>
            </w:r>
          </w:p>
        </w:tc>
      </w:tr>
      <w:tr>
        <w:tc>
          <w:tcPr>
            <w:tcW w:type="dxa" w:w="1984"/>
            <w:shd w:fill="F2F6FA" w:val="clear"/>
          </w:tcPr>
          <w:p>
            <w:r>
              <w:rPr>
                <w:rFonts w:ascii="Calibri" w:hAnsi="Calibri"/>
                <w:b w:val="0"/>
                <w:color w:val="333333"/>
                <w:sz w:val="18"/>
              </w:rPr>
              <w:t>stage</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Current pipeline stage</w:t>
            </w:r>
          </w:p>
        </w:tc>
      </w:tr>
      <w:tr>
        <w:tc>
          <w:tcPr>
            <w:tcW w:type="dxa" w:w="1984"/>
          </w:tcPr>
          <w:p>
            <w:r>
              <w:rPr>
                <w:rFonts w:ascii="Calibri" w:hAnsi="Calibri"/>
                <w:b w:val="0"/>
                <w:color w:val="333333"/>
                <w:sz w:val="18"/>
              </w:rPr>
              <w:t>filename</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Original uploaded filename</w:t>
            </w:r>
          </w:p>
        </w:tc>
      </w:tr>
      <w:tr>
        <w:tc>
          <w:tcPr>
            <w:tcW w:type="dxa" w:w="1984"/>
            <w:shd w:fill="F2F6FA" w:val="clear"/>
          </w:tcPr>
          <w:p>
            <w:r>
              <w:rPr>
                <w:rFonts w:ascii="Calibri" w:hAnsi="Calibri"/>
                <w:b w:val="0"/>
                <w:color w:val="333333"/>
                <w:sz w:val="18"/>
              </w:rPr>
              <w:t>fields</w:t>
            </w:r>
          </w:p>
        </w:tc>
        <w:tc>
          <w:tcPr>
            <w:tcW w:type="dxa" w:w="1587"/>
            <w:shd w:fill="F2F6FA" w:val="clear"/>
          </w:tcPr>
          <w:p>
            <w:r>
              <w:rPr>
                <w:rFonts w:ascii="Calibri" w:hAnsi="Calibri"/>
                <w:b w:val="0"/>
                <w:color w:val="333333"/>
                <w:sz w:val="18"/>
              </w:rPr>
              <w:t>JSONB</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Submitted form fields</w:t>
            </w:r>
          </w:p>
        </w:tc>
      </w:tr>
      <w:tr>
        <w:tc>
          <w:tcPr>
            <w:tcW w:type="dxa" w:w="1984"/>
          </w:tcPr>
          <w:p>
            <w:r>
              <w:rPr>
                <w:rFonts w:ascii="Calibri" w:hAnsi="Calibri"/>
                <w:b w:val="0"/>
                <w:color w:val="333333"/>
                <w:sz w:val="18"/>
              </w:rPr>
              <w:t>stages</w:t>
            </w:r>
          </w:p>
        </w:tc>
        <w:tc>
          <w:tcPr>
            <w:tcW w:type="dxa" w:w="1587"/>
          </w:tcPr>
          <w:p>
            <w:r>
              <w:rPr>
                <w:rFonts w:ascii="Calibri" w:hAnsi="Calibri"/>
                <w:b w:val="0"/>
                <w:color w:val="333333"/>
                <w:sz w:val="18"/>
              </w:rPr>
              <w:t>JSONB</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Per-stage status and artifact keys</w:t>
            </w:r>
          </w:p>
        </w:tc>
      </w:tr>
      <w:tr>
        <w:tc>
          <w:tcPr>
            <w:tcW w:type="dxa" w:w="1984"/>
            <w:shd w:fill="F2F6FA" w:val="clear"/>
          </w:tcPr>
          <w:p>
            <w:r>
              <w:rPr>
                <w:rFonts w:ascii="Calibri" w:hAnsi="Calibri"/>
                <w:b w:val="0"/>
                <w:color w:val="333333"/>
                <w:sz w:val="18"/>
              </w:rPr>
              <w:t>state</w:t>
            </w:r>
          </w:p>
        </w:tc>
        <w:tc>
          <w:tcPr>
            <w:tcW w:type="dxa" w:w="1587"/>
            <w:shd w:fill="F2F6FA" w:val="clear"/>
          </w:tcPr>
          <w:p>
            <w:r>
              <w:rPr>
                <w:rFonts w:ascii="Calibri" w:hAnsi="Calibri"/>
                <w:b w:val="0"/>
                <w:color w:val="333333"/>
                <w:sz w:val="18"/>
              </w:rPr>
              <w:t>JSONB</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Pipeline working state</w:t>
            </w:r>
          </w:p>
        </w:tc>
      </w:tr>
      <w:tr>
        <w:tc>
          <w:tcPr>
            <w:tcW w:type="dxa" w:w="1984"/>
          </w:tcPr>
          <w:p>
            <w:r>
              <w:rPr>
                <w:rFonts w:ascii="Calibri" w:hAnsi="Calibri"/>
                <w:b w:val="0"/>
                <w:color w:val="333333"/>
                <w:sz w:val="18"/>
              </w:rPr>
              <w:t>error</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Failure detail, if any</w:t>
            </w:r>
          </w:p>
        </w:tc>
      </w:tr>
      <w:tr>
        <w:tc>
          <w:tcPr>
            <w:tcW w:type="dxa" w:w="1984"/>
            <w:shd w:fill="F2F6FA" w:val="clear"/>
          </w:tcPr>
          <w:p>
            <w:r>
              <w:rPr>
                <w:rFonts w:ascii="Calibri" w:hAnsi="Calibri"/>
                <w:b w:val="0"/>
                <w:color w:val="333333"/>
                <w:sz w:val="18"/>
              </w:rPr>
              <w:t>created</w:t>
            </w:r>
          </w:p>
        </w:tc>
        <w:tc>
          <w:tcPr>
            <w:tcW w:type="dxa" w:w="1587"/>
            <w:shd w:fill="F2F6FA" w:val="clear"/>
          </w:tcPr>
          <w:p>
            <w:r>
              <w:rPr>
                <w:rFonts w:ascii="Calibri" w:hAnsi="Calibri"/>
                <w:b w:val="0"/>
                <w:color w:val="333333"/>
                <w:sz w:val="18"/>
              </w:rPr>
              <w:t>DOUBLE PRECISION</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Epoch creation time</w:t>
            </w:r>
          </w:p>
        </w:tc>
      </w:tr>
      <w:tr>
        <w:tc>
          <w:tcPr>
            <w:tcW w:type="dxa" w:w="1984"/>
          </w:tcPr>
          <w:p>
            <w:r>
              <w:rPr>
                <w:rFonts w:ascii="Calibri" w:hAnsi="Calibri"/>
                <w:b w:val="0"/>
                <w:color w:val="333333"/>
                <w:sz w:val="18"/>
              </w:rPr>
              <w:t>updated</w:t>
            </w:r>
          </w:p>
        </w:tc>
        <w:tc>
          <w:tcPr>
            <w:tcW w:type="dxa" w:w="1587"/>
          </w:tcPr>
          <w:p>
            <w:r>
              <w:rPr>
                <w:rFonts w:ascii="Calibri" w:hAnsi="Calibri"/>
                <w:b w:val="0"/>
                <w:color w:val="333333"/>
                <w:sz w:val="18"/>
              </w:rPr>
              <w:t>DOUBLE PRECISION</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Epoch last-update time (indexed DESC)</w:t>
            </w:r>
          </w:p>
        </w:tc>
      </w:tr>
    </w:tbl>
    <w:p/>
    <w:p>
      <w:pPr>
        <w:pStyle w:val="Heading2"/>
      </w:pPr>
      <w:r>
        <w:rPr>
          <w:rFonts w:ascii="Calibri" w:hAnsi="Calibri"/>
          <w:color w:val="1B2A4A"/>
        </w:rPr>
        <w:t>3.5 Edge / Field</w:t>
      </w:r>
    </w:p>
    <w:p>
      <w:pPr>
        <w:pStyle w:val="Heading3"/>
      </w:pPr>
      <w:r>
        <w:rPr>
          <w:rFonts w:ascii="Calibri" w:hAnsi="Calibri"/>
          <w:color w:val="1B2A4A"/>
        </w:rPr>
        <w:t>ingest_devices</w:t>
      </w:r>
    </w:p>
    <w:p>
      <w:pPr>
        <w:spacing w:after="80"/>
      </w:pPr>
      <w:r>
        <w:rPr>
          <w:rFonts w:ascii="Calibri" w:hAnsi="Calibri"/>
          <w:b w:val="0"/>
          <w:color w:val="666666"/>
          <w:sz w:val="18"/>
        </w:rPr>
        <w:t>The identities that push telemetry. A device MUST NOT authenticate with a tenant API key — those are read and write credentials for the whole twin, and a gateway in a plant room can be unscrewed by an electrician. A device credential grants exactly one verb in exactly one tenant and is revocable on its own. Only the token hash is stored; the plaintext is returned once and is never recoverable.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device_id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w:t>
            </w:r>
          </w:p>
        </w:tc>
      </w:tr>
      <w:tr>
        <w:tc>
          <w:tcPr>
            <w:tcW w:type="dxa" w:w="1984"/>
          </w:tcPr>
          <w:p>
            <w:r>
              <w:rPr>
                <w:rFonts w:ascii="Calibri" w:hAnsi="Calibri"/>
                <w:b w:val="0"/>
                <w:color w:val="333333"/>
                <w:sz w:val="18"/>
              </w:rPr>
              <w:t>tenant_id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The single tenant this device may write to</w:t>
            </w:r>
          </w:p>
        </w:tc>
      </w:tr>
      <w:tr>
        <w:tc>
          <w:tcPr>
            <w:tcW w:type="dxa" w:w="1984"/>
            <w:shd w:fill="F2F6FA" w:val="clear"/>
          </w:tcPr>
          <w:p>
            <w:r>
              <w:rPr>
                <w:rFonts w:ascii="Calibri" w:hAnsi="Calibri"/>
                <w:b w:val="0"/>
                <w:color w:val="333333"/>
                <w:sz w:val="18"/>
              </w:rPr>
              <w:t>name</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Operator-facing label</w:t>
            </w:r>
          </w:p>
        </w:tc>
      </w:tr>
      <w:tr>
        <w:tc>
          <w:tcPr>
            <w:tcW w:type="dxa" w:w="1984"/>
          </w:tcPr>
          <w:p>
            <w:r>
              <w:rPr>
                <w:rFonts w:ascii="Calibri" w:hAnsi="Calibri"/>
                <w:b w:val="0"/>
                <w:color w:val="333333"/>
                <w:sz w:val="18"/>
              </w:rPr>
              <w:t>token_hash</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Hash of the bearer token; UNIQUE index (sensitive)</w:t>
            </w:r>
          </w:p>
        </w:tc>
      </w:tr>
      <w:tr>
        <w:tc>
          <w:tcPr>
            <w:tcW w:type="dxa" w:w="1984"/>
            <w:shd w:fill="F2F6FA" w:val="clear"/>
          </w:tcPr>
          <w:p>
            <w:r>
              <w:rPr>
                <w:rFonts w:ascii="Calibri" w:hAnsi="Calibri"/>
                <w:b w:val="0"/>
                <w:color w:val="333333"/>
                <w:sz w:val="18"/>
              </w:rPr>
              <w:t>asset_prefix</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Narrows the device to assets under a prefix</w:t>
            </w:r>
          </w:p>
        </w:tc>
      </w:tr>
      <w:tr>
        <w:tc>
          <w:tcPr>
            <w:tcW w:type="dxa" w:w="1984"/>
          </w:tcPr>
          <w:p>
            <w:r>
              <w:rPr>
                <w:rFonts w:ascii="Calibri" w:hAnsi="Calibri"/>
                <w:b w:val="0"/>
                <w:color w:val="333333"/>
                <w:sz w:val="18"/>
              </w:rPr>
              <w:t>enabled</w:t>
            </w:r>
          </w:p>
        </w:tc>
        <w:tc>
          <w:tcPr>
            <w:tcW w:type="dxa" w:w="1587"/>
          </w:tcPr>
          <w:p>
            <w:r>
              <w:rPr>
                <w:rFonts w:ascii="Calibri" w:hAnsi="Calibri"/>
                <w:b w:val="0"/>
                <w:color w:val="333333"/>
                <w:sz w:val="18"/>
              </w:rPr>
              <w:t>INTEGER</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1</w:t>
            </w:r>
          </w:p>
        </w:tc>
        <w:tc>
          <w:tcPr>
            <w:tcW w:type="dxa" w:w="3969"/>
          </w:tcPr>
          <w:p>
            <w:r>
              <w:rPr>
                <w:rFonts w:ascii="Calibri" w:hAnsi="Calibri"/>
                <w:b w:val="0"/>
                <w:color w:val="333333"/>
                <w:sz w:val="18"/>
              </w:rPr>
              <w:t>Disable without deleting</w:t>
            </w:r>
          </w:p>
        </w:tc>
      </w:tr>
      <w:tr>
        <w:tc>
          <w:tcPr>
            <w:tcW w:type="dxa" w:w="1984"/>
            <w:shd w:fill="F2F6FA" w:val="clear"/>
          </w:tcPr>
          <w:p>
            <w:r>
              <w:rPr>
                <w:rFonts w:ascii="Calibri" w:hAnsi="Calibri"/>
                <w:b w:val="0"/>
                <w:color w:val="333333"/>
                <w:sz w:val="18"/>
              </w:rPr>
              <w:t>created_at</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ISO-8601 UTC</w:t>
            </w:r>
          </w:p>
        </w:tc>
      </w:tr>
      <w:tr>
        <w:tc>
          <w:tcPr>
            <w:tcW w:type="dxa" w:w="1984"/>
          </w:tcPr>
          <w:p>
            <w:r>
              <w:rPr>
                <w:rFonts w:ascii="Calibri" w:hAnsi="Calibri"/>
                <w:b w:val="0"/>
                <w:color w:val="333333"/>
                <w:sz w:val="18"/>
              </w:rPr>
              <w:t>created_by</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Key or user that registered the device</w:t>
            </w:r>
          </w:p>
        </w:tc>
      </w:tr>
      <w:tr>
        <w:tc>
          <w:tcPr>
            <w:tcW w:type="dxa" w:w="1984"/>
            <w:shd w:fill="F2F6FA" w:val="clear"/>
          </w:tcPr>
          <w:p>
            <w:r>
              <w:rPr>
                <w:rFonts w:ascii="Calibri" w:hAnsi="Calibri"/>
                <w:b w:val="0"/>
                <w:color w:val="333333"/>
                <w:sz w:val="18"/>
              </w:rPr>
              <w:t>expires_at</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Optional credential expiry</w:t>
            </w:r>
          </w:p>
        </w:tc>
      </w:tr>
      <w:tr>
        <w:tc>
          <w:tcPr>
            <w:tcW w:type="dxa" w:w="1984"/>
          </w:tcPr>
          <w:p>
            <w:r>
              <w:rPr>
                <w:rFonts w:ascii="Calibri" w:hAnsi="Calibri"/>
                <w:b w:val="0"/>
                <w:color w:val="333333"/>
                <w:sz w:val="18"/>
              </w:rPr>
              <w:t>last_seen_at</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Last accepted sample time</w:t>
            </w:r>
          </w:p>
        </w:tc>
      </w:tr>
      <w:tr>
        <w:tc>
          <w:tcPr>
            <w:tcW w:type="dxa" w:w="1984"/>
            <w:shd w:fill="F2F6FA" w:val="clear"/>
          </w:tcPr>
          <w:p>
            <w:r>
              <w:rPr>
                <w:rFonts w:ascii="Calibri" w:hAnsi="Calibri"/>
                <w:b w:val="0"/>
                <w:color w:val="333333"/>
                <w:sz w:val="18"/>
              </w:rPr>
              <w:t>last_seen_ip</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Source address of the last sample (operational PII)</w:t>
            </w:r>
          </w:p>
        </w:tc>
      </w:tr>
      <w:tr>
        <w:tc>
          <w:tcPr>
            <w:tcW w:type="dxa" w:w="1984"/>
          </w:tcPr>
          <w:p>
            <w:r>
              <w:rPr>
                <w:rFonts w:ascii="Calibri" w:hAnsi="Calibri"/>
                <w:b w:val="0"/>
                <w:color w:val="333333"/>
                <w:sz w:val="18"/>
              </w:rPr>
              <w:t>samples_total</w:t>
            </w:r>
          </w:p>
        </w:tc>
        <w:tc>
          <w:tcPr>
            <w:tcW w:type="dxa" w:w="1587"/>
          </w:tcPr>
          <w:p>
            <w:r>
              <w:rPr>
                <w:rFonts w:ascii="Calibri" w:hAnsi="Calibri"/>
                <w:b w:val="0"/>
                <w:color w:val="333333"/>
                <w:sz w:val="18"/>
              </w:rPr>
              <w:t>DOUBLE PRECISION</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0</w:t>
            </w:r>
          </w:p>
        </w:tc>
        <w:tc>
          <w:tcPr>
            <w:tcW w:type="dxa" w:w="3969"/>
          </w:tcPr>
          <w:p>
            <w:r>
              <w:rPr>
                <w:rFonts w:ascii="Calibri" w:hAnsi="Calibri"/>
                <w:b w:val="0"/>
                <w:color w:val="333333"/>
                <w:sz w:val="18"/>
              </w:rPr>
              <w:t>Accepted sample counter</w:t>
            </w:r>
          </w:p>
        </w:tc>
      </w:tr>
      <w:tr>
        <w:tc>
          <w:tcPr>
            <w:tcW w:type="dxa" w:w="1984"/>
            <w:shd w:fill="F2F6FA" w:val="clear"/>
          </w:tcPr>
          <w:p>
            <w:r>
              <w:rPr>
                <w:rFonts w:ascii="Calibri" w:hAnsi="Calibri"/>
                <w:b w:val="0"/>
                <w:color w:val="333333"/>
                <w:sz w:val="18"/>
              </w:rPr>
              <w:t>rejected_total</w:t>
            </w:r>
          </w:p>
        </w:tc>
        <w:tc>
          <w:tcPr>
            <w:tcW w:type="dxa" w:w="1587"/>
            <w:shd w:fill="F2F6FA" w:val="clear"/>
          </w:tcPr>
          <w:p>
            <w:r>
              <w:rPr>
                <w:rFonts w:ascii="Calibri" w:hAnsi="Calibri"/>
                <w:b w:val="0"/>
                <w:color w:val="333333"/>
                <w:sz w:val="18"/>
              </w:rPr>
              <w:t>DOUBLE PRECISION</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0</w:t>
            </w:r>
          </w:p>
        </w:tc>
        <w:tc>
          <w:tcPr>
            <w:tcW w:type="dxa" w:w="3969"/>
            <w:shd w:fill="F2F6FA" w:val="clear"/>
          </w:tcPr>
          <w:p>
            <w:r>
              <w:rPr>
                <w:rFonts w:ascii="Calibri" w:hAnsi="Calibri"/>
                <w:b w:val="0"/>
                <w:color w:val="333333"/>
                <w:sz w:val="18"/>
              </w:rPr>
              <w:t>Rejected sample counter</w:t>
            </w:r>
          </w:p>
        </w:tc>
      </w:tr>
    </w:tbl>
    <w:p/>
    <w:p>
      <w:pPr>
        <w:pStyle w:val="Heading3"/>
      </w:pPr>
      <w:r>
        <w:rPr>
          <w:rFonts w:ascii="Calibri" w:hAnsi="Calibri"/>
          <w:color w:val="1B2A4A"/>
        </w:rPr>
        <w:t>connectors</w:t>
      </w:r>
    </w:p>
    <w:p>
      <w:pPr>
        <w:spacing w:after="80"/>
      </w:pPr>
      <w:r>
        <w:rPr>
          <w:rFonts w:ascii="Calibri" w:hAnsi="Calibri"/>
          <w:b w:val="0"/>
          <w:color w:val="666666"/>
          <w:sz w:val="18"/>
        </w:rPr>
        <w:t>Field-protocol connector configuration (Modbus / OPC-UA / MQTT). Durable configuration, not runtime state: a site commissions dozens and expects them polling after a redeploy. The whole config — including the point map — is one JSON column because a point map is read, written, validated and versioned as a whole document and is never queried by point.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connector_id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Primary key</w:t>
            </w:r>
          </w:p>
        </w:tc>
      </w:tr>
      <w:tr>
        <w:tc>
          <w:tcPr>
            <w:tcW w:type="dxa" w:w="1984"/>
          </w:tcPr>
          <w:p>
            <w:r>
              <w:rPr>
                <w:rFonts w:ascii="Calibri" w:hAnsi="Calibri"/>
                <w:b w:val="0"/>
                <w:color w:val="333333"/>
                <w:sz w:val="18"/>
              </w:rPr>
              <w:t>tenant_id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Isolation key</w:t>
            </w:r>
          </w:p>
        </w:tc>
      </w:tr>
      <w:tr>
        <w:tc>
          <w:tcPr>
            <w:tcW w:type="dxa" w:w="1984"/>
            <w:shd w:fill="F2F6FA" w:val="clear"/>
          </w:tcPr>
          <w:p>
            <w:r>
              <w:rPr>
                <w:rFonts w:ascii="Calibri" w:hAnsi="Calibri"/>
                <w:b w:val="0"/>
                <w:color w:val="333333"/>
                <w:sz w:val="18"/>
              </w:rPr>
              <w:t>protocol</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modbus_tcp | modbus_rtu | opcua | mqtt</w:t>
            </w:r>
          </w:p>
        </w:tc>
      </w:tr>
      <w:tr>
        <w:tc>
          <w:tcPr>
            <w:tcW w:type="dxa" w:w="1984"/>
          </w:tcPr>
          <w:p>
            <w:r>
              <w:rPr>
                <w:rFonts w:ascii="Calibri" w:hAnsi="Calibri"/>
                <w:b w:val="0"/>
                <w:color w:val="333333"/>
                <w:sz w:val="18"/>
              </w:rPr>
              <w:t>name</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Operator-facing label</w:t>
            </w:r>
          </w:p>
        </w:tc>
      </w:tr>
      <w:tr>
        <w:tc>
          <w:tcPr>
            <w:tcW w:type="dxa" w:w="1984"/>
            <w:shd w:fill="F2F6FA" w:val="clear"/>
          </w:tcPr>
          <w:p>
            <w:r>
              <w:rPr>
                <w:rFonts w:ascii="Calibri" w:hAnsi="Calibri"/>
                <w:b w:val="0"/>
                <w:color w:val="333333"/>
                <w:sz w:val="18"/>
              </w:rPr>
              <w:t>enabled</w:t>
            </w:r>
          </w:p>
        </w:tc>
        <w:tc>
          <w:tcPr>
            <w:tcW w:type="dxa" w:w="1587"/>
            <w:shd w:fill="F2F6FA" w:val="clear"/>
          </w:tcPr>
          <w:p>
            <w:r>
              <w:rPr>
                <w:rFonts w:ascii="Calibri" w:hAnsi="Calibri"/>
                <w:b w:val="0"/>
                <w:color w:val="333333"/>
                <w:sz w:val="18"/>
              </w:rPr>
              <w:t>INTEGER</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1</w:t>
            </w:r>
          </w:p>
        </w:tc>
        <w:tc>
          <w:tcPr>
            <w:tcW w:type="dxa" w:w="3969"/>
            <w:shd w:fill="F2F6FA" w:val="clear"/>
          </w:tcPr>
          <w:p>
            <w:r>
              <w:rPr>
                <w:rFonts w:ascii="Calibri" w:hAnsi="Calibri"/>
                <w:b w:val="0"/>
                <w:color w:val="333333"/>
                <w:sz w:val="18"/>
              </w:rPr>
              <w:t>Whether the supervisor should run it</w:t>
            </w:r>
          </w:p>
        </w:tc>
      </w:tr>
      <w:tr>
        <w:tc>
          <w:tcPr>
            <w:tcW w:type="dxa" w:w="1984"/>
          </w:tcPr>
          <w:p>
            <w:r>
              <w:rPr>
                <w:rFonts w:ascii="Calibri" w:hAnsi="Calibri"/>
                <w:b w:val="0"/>
                <w:color w:val="333333"/>
                <w:sz w:val="18"/>
              </w:rPr>
              <w:t>config</w:t>
            </w:r>
          </w:p>
        </w:tc>
        <w:tc>
          <w:tcPr>
            <w:tcW w:type="dxa" w:w="1587"/>
          </w:tcPr>
          <w:p>
            <w:r>
              <w:rPr>
                <w:rFonts w:ascii="Calibri" w:hAnsi="Calibri"/>
                <w:b w:val="0"/>
                <w:color w:val="333333"/>
                <w:sz w:val="18"/>
              </w:rPr>
              <w:t>JSONB</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Endpoint, poll interval, point map AND credentials (sensitive — allow-listed by redacted())</w:t>
            </w:r>
          </w:p>
        </w:tc>
      </w:tr>
      <w:tr>
        <w:tc>
          <w:tcPr>
            <w:tcW w:type="dxa" w:w="1984"/>
            <w:shd w:fill="F2F6FA" w:val="clear"/>
          </w:tcPr>
          <w:p>
            <w:r>
              <w:rPr>
                <w:rFonts w:ascii="Calibri" w:hAnsi="Calibri"/>
                <w:b w:val="0"/>
                <w:color w:val="333333"/>
                <w:sz w:val="18"/>
              </w:rPr>
              <w:t>created_at</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ISO-8601 UTC</w:t>
            </w:r>
          </w:p>
        </w:tc>
      </w:tr>
      <w:tr>
        <w:tc>
          <w:tcPr>
            <w:tcW w:type="dxa" w:w="1984"/>
          </w:tcPr>
          <w:p>
            <w:r>
              <w:rPr>
                <w:rFonts w:ascii="Calibri" w:hAnsi="Calibri"/>
                <w:b w:val="0"/>
                <w:color w:val="333333"/>
                <w:sz w:val="18"/>
              </w:rPr>
              <w:t>updated_at</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ISO-8601 UTC</w:t>
            </w:r>
          </w:p>
        </w:tc>
      </w:tr>
    </w:tbl>
    <w:p/>
    <w:p>
      <w:pPr>
        <w:pStyle w:val="Heading2"/>
      </w:pPr>
      <w:r>
        <w:rPr>
          <w:rFonts w:ascii="Calibri" w:hAnsi="Calibri"/>
          <w:color w:val="1B2A4A"/>
        </w:rPr>
        <w:t>3.6 Historian</w:t>
      </w:r>
    </w:p>
    <w:p>
      <w:pPr>
        <w:pStyle w:val="Heading3"/>
      </w:pPr>
      <w:r>
        <w:rPr>
          <w:rFonts w:ascii="Calibri" w:hAnsi="Calibri"/>
          <w:color w:val="1B2A4A"/>
        </w:rPr>
        <w:t>measurements</w:t>
      </w:r>
    </w:p>
    <w:p>
      <w:pPr>
        <w:spacing w:after="80"/>
      </w:pPr>
      <w:r>
        <w:rPr>
          <w:rFonts w:ascii="Calibri" w:hAnsi="Calibri"/>
          <w:b w:val="0"/>
          <w:color w:val="666666"/>
          <w:sz w:val="18"/>
        </w:rPr>
        <w:t>The telemetry historian's raw table — a TimescaleDB hypertable partitioned by time in 1-day chunks. Neo4j holds the CURRENT value of a property, which is the right job for a graph and the wrong one for “90 days of this sensor at 5-minute resolution”.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tenant_id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Isolation key; part of the primary key</w:t>
            </w:r>
          </w:p>
        </w:tc>
      </w:tr>
      <w:tr>
        <w:tc>
          <w:tcPr>
            <w:tcW w:type="dxa" w:w="1984"/>
          </w:tcPr>
          <w:p>
            <w:r>
              <w:rPr>
                <w:rFonts w:ascii="Calibri" w:hAnsi="Calibri"/>
                <w:b w:val="0"/>
                <w:color w:val="333333"/>
                <w:sz w:val="18"/>
              </w:rPr>
              <w:t>asset_id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The asset the measurement belongs to</w:t>
            </w:r>
          </w:p>
        </w:tc>
      </w:tr>
      <w:tr>
        <w:tc>
          <w:tcPr>
            <w:tcW w:type="dxa" w:w="1984"/>
            <w:shd w:fill="F2F6FA" w:val="clear"/>
          </w:tcPr>
          <w:p>
            <w:r>
              <w:rPr>
                <w:rFonts w:ascii="Calibri" w:hAnsi="Calibri"/>
                <w:b w:val="0"/>
                <w:color w:val="333333"/>
                <w:sz w:val="18"/>
              </w:rPr>
              <w:t>signal</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Canonical signal name</w:t>
            </w:r>
          </w:p>
        </w:tc>
      </w:tr>
      <w:tr>
        <w:tc>
          <w:tcPr>
            <w:tcW w:type="dxa" w:w="1984"/>
          </w:tcPr>
          <w:p>
            <w:r>
              <w:rPr>
                <w:rFonts w:ascii="Calibri" w:hAnsi="Calibri"/>
                <w:b w:val="0"/>
                <w:color w:val="333333"/>
                <w:sz w:val="18"/>
              </w:rPr>
              <w:t>ts</w:t>
            </w:r>
          </w:p>
        </w:tc>
        <w:tc>
          <w:tcPr>
            <w:tcW w:type="dxa" w:w="1587"/>
          </w:tcPr>
          <w:p>
            <w:r>
              <w:rPr>
                <w:rFonts w:ascii="Calibri" w:hAnsi="Calibri"/>
                <w:b w:val="0"/>
                <w:color w:val="333333"/>
                <w:sz w:val="18"/>
              </w:rPr>
              <w:t>TIMESTAMPTZ</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Measurement time; the hypertable partitioning column</w:t>
            </w:r>
          </w:p>
        </w:tc>
      </w:tr>
      <w:tr>
        <w:tc>
          <w:tcPr>
            <w:tcW w:type="dxa" w:w="1984"/>
            <w:shd w:fill="F2F6FA" w:val="clear"/>
          </w:tcPr>
          <w:p>
            <w:r>
              <w:rPr>
                <w:rFonts w:ascii="Calibri" w:hAnsi="Calibri"/>
                <w:b w:val="0"/>
                <w:color w:val="333333"/>
                <w:sz w:val="18"/>
              </w:rPr>
              <w:t>value</w:t>
            </w:r>
          </w:p>
        </w:tc>
        <w:tc>
          <w:tcPr>
            <w:tcW w:type="dxa" w:w="1587"/>
            <w:shd w:fill="F2F6FA" w:val="clear"/>
          </w:tcPr>
          <w:p>
            <w:r>
              <w:rPr>
                <w:rFonts w:ascii="Calibri" w:hAnsi="Calibri"/>
                <w:b w:val="0"/>
                <w:color w:val="333333"/>
                <w:sz w:val="18"/>
              </w:rPr>
              <w:t>DOUBLE PRECISION</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The measured value</w:t>
            </w:r>
          </w:p>
        </w:tc>
      </w:tr>
      <w:tr>
        <w:tc>
          <w:tcPr>
            <w:tcW w:type="dxa" w:w="1984"/>
          </w:tcPr>
          <w:p>
            <w:r>
              <w:rPr>
                <w:rFonts w:ascii="Calibri" w:hAnsi="Calibri"/>
                <w:b w:val="0"/>
                <w:color w:val="333333"/>
                <w:sz w:val="18"/>
              </w:rPr>
              <w:t>unit</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Unit of measure</w:t>
            </w:r>
          </w:p>
        </w:tc>
      </w:tr>
      <w:tr>
        <w:tc>
          <w:tcPr>
            <w:tcW w:type="dxa" w:w="1984"/>
            <w:shd w:fill="F2F6FA" w:val="clear"/>
          </w:tcPr>
          <w:p>
            <w:r>
              <w:rPr>
                <w:rFonts w:ascii="Calibri" w:hAnsi="Calibri"/>
                <w:b w:val="0"/>
                <w:color w:val="333333"/>
                <w:sz w:val="18"/>
              </w:rPr>
              <w:t>quality</w:t>
            </w:r>
          </w:p>
        </w:tc>
        <w:tc>
          <w:tcPr>
            <w:tcW w:type="dxa" w:w="1587"/>
            <w:shd w:fill="F2F6FA" w:val="clear"/>
          </w:tcPr>
          <w:p>
            <w:r>
              <w:rPr>
                <w:rFonts w:ascii="Calibri" w:hAnsi="Calibri"/>
                <w:b w:val="0"/>
                <w:color w:val="333333"/>
                <w:sz w:val="18"/>
              </w:rPr>
              <w:t>SMALLINT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192</w:t>
            </w:r>
          </w:p>
        </w:tc>
        <w:tc>
          <w:tcPr>
            <w:tcW w:type="dxa" w:w="3969"/>
            <w:shd w:fill="F2F6FA" w:val="clear"/>
          </w:tcPr>
          <w:p>
            <w:r>
              <w:rPr>
                <w:rFonts w:ascii="Calibri" w:hAnsi="Calibri"/>
                <w:b w:val="0"/>
                <w:color w:val="333333"/>
                <w:sz w:val="18"/>
              </w:rPr>
              <w:t>OPC quality byte: 0 BAD, 64 UNCERTAIN, 192 GOOD</w:t>
            </w:r>
          </w:p>
        </w:tc>
      </w:tr>
      <w:tr>
        <w:tc>
          <w:tcPr>
            <w:tcW w:type="dxa" w:w="1984"/>
          </w:tcPr>
          <w:p>
            <w:r>
              <w:rPr>
                <w:rFonts w:ascii="Calibri" w:hAnsi="Calibri"/>
                <w:b w:val="0"/>
                <w:color w:val="333333"/>
                <w:sz w:val="18"/>
              </w:rPr>
              <w:t>source</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'api'</w:t>
            </w:r>
          </w:p>
        </w:tc>
        <w:tc>
          <w:tcPr>
            <w:tcW w:type="dxa" w:w="3969"/>
          </w:tcPr>
          <w:p>
            <w:r>
              <w:rPr>
                <w:rFonts w:ascii="Calibri" w:hAnsi="Calibri"/>
                <w:b w:val="0"/>
                <w:color w:val="333333"/>
                <w:sz w:val="18"/>
              </w:rPr>
              <w:t>api | connector | simulator | backfill</w:t>
            </w:r>
          </w:p>
        </w:tc>
      </w:tr>
      <w:tr>
        <w:tc>
          <w:tcPr>
            <w:tcW w:type="dxa" w:w="1984"/>
            <w:shd w:fill="F2F6FA" w:val="clear"/>
          </w:tcPr>
          <w:p>
            <w:r>
              <w:rPr>
                <w:rFonts w:ascii="Calibri" w:hAnsi="Calibri"/>
                <w:b w:val="0"/>
                <w:color w:val="333333"/>
                <w:sz w:val="18"/>
              </w:rPr>
              <w:t>received_at</w:t>
            </w:r>
          </w:p>
        </w:tc>
        <w:tc>
          <w:tcPr>
            <w:tcW w:type="dxa" w:w="1587"/>
            <w:shd w:fill="F2F6FA" w:val="clear"/>
          </w:tcPr>
          <w:p>
            <w:r>
              <w:rPr>
                <w:rFonts w:ascii="Calibri" w:hAnsi="Calibri"/>
                <w:b w:val="0"/>
                <w:color w:val="333333"/>
                <w:sz w:val="18"/>
              </w:rPr>
              <w:t>TIMESTAMPTZ</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now()</w:t>
            </w:r>
          </w:p>
        </w:tc>
        <w:tc>
          <w:tcPr>
            <w:tcW w:type="dxa" w:w="3969"/>
            <w:shd w:fill="F2F6FA" w:val="clear"/>
          </w:tcPr>
          <w:p>
            <w:r>
              <w:rPr>
                <w:rFonts w:ascii="Calibri" w:hAnsi="Calibri"/>
                <w:b w:val="0"/>
                <w:color w:val="333333"/>
                <w:sz w:val="18"/>
              </w:rPr>
              <w:t>Arrival time, distinct from measurement time</w:t>
            </w:r>
          </w:p>
        </w:tc>
      </w:tr>
    </w:tbl>
    <w:p/>
    <w:p>
      <w:pPr>
        <w:pStyle w:val="Heading3"/>
      </w:pPr>
      <w:r>
        <w:rPr>
          <w:rFonts w:ascii="Calibri" w:hAnsi="Calibri"/>
          <w:color w:val="1B2A4A"/>
        </w:rPr>
        <w:t>measurements_1m / _1h / _1d</w:t>
      </w:r>
    </w:p>
    <w:p>
      <w:pPr>
        <w:spacing w:after="80"/>
      </w:pPr>
      <w:r>
        <w:rPr>
          <w:rFonts w:ascii="Calibri" w:hAnsi="Calibri"/>
          <w:b w:val="0"/>
          <w:color w:val="666666"/>
          <w:sz w:val="18"/>
        </w:rPr>
        <w:t>Continuous aggregates — incrementally-maintained rollups so a 90-day chart reads roughly two thousand pre-computed rows rather than aggregating millions. Each is built directly from raw rather than from the tier below: non-hierarchical costs more storage and is unambiguously correct.</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fill="1B2A4A" w:val="clear"/>
          </w:tcPr>
          <w:p>
            <w:r>
              <w:rPr>
                <w:rFonts w:ascii="Calibri" w:hAnsi="Calibri"/>
                <w:b/>
                <w:color w:val="FFFFFF"/>
                <w:sz w:val="20"/>
              </w:rPr>
              <w:t>Column</w:t>
            </w:r>
          </w:p>
        </w:tc>
        <w:tc>
          <w:tcPr>
            <w:tcW w:type="dxa" w:w="1587"/>
            <w:shd w:fill="1B2A4A" w:val="clear"/>
          </w:tcPr>
          <w:p>
            <w:r>
              <w:rPr>
                <w:rFonts w:ascii="Calibri" w:hAnsi="Calibri"/>
                <w:b/>
                <w:color w:val="FFFFFF"/>
                <w:sz w:val="20"/>
              </w:rPr>
              <w:t>Type</w:t>
            </w:r>
          </w:p>
        </w:tc>
        <w:tc>
          <w:tcPr>
            <w:tcW w:type="dxa" w:w="850"/>
            <w:shd w:fill="1B2A4A" w:val="clear"/>
          </w:tcPr>
          <w:p>
            <w:r>
              <w:rPr>
                <w:rFonts w:ascii="Calibri" w:hAnsi="Calibri"/>
                <w:b/>
                <w:color w:val="FFFFFF"/>
                <w:sz w:val="20"/>
              </w:rPr>
              <w:t>Nullable</w:t>
            </w:r>
          </w:p>
        </w:tc>
        <w:tc>
          <w:tcPr>
            <w:tcW w:type="dxa" w:w="1247"/>
            <w:shd w:fill="1B2A4A" w:val="clear"/>
          </w:tcPr>
          <w:p>
            <w:r>
              <w:rPr>
                <w:rFonts w:ascii="Calibri" w:hAnsi="Calibri"/>
                <w:b/>
                <w:color w:val="FFFFFF"/>
                <w:sz w:val="20"/>
              </w:rPr>
              <w:t>Default</w:t>
            </w:r>
          </w:p>
        </w:tc>
        <w:tc>
          <w:tcPr>
            <w:tcW w:type="dxa" w:w="3969"/>
            <w:shd w:fill="1B2A4A" w:val="clear"/>
          </w:tcPr>
          <w:p>
            <w:r>
              <w:rPr>
                <w:rFonts w:ascii="Calibri" w:hAnsi="Calibri"/>
                <w:b/>
                <w:color w:val="FFFFFF"/>
                <w:sz w:val="20"/>
              </w:rPr>
              <w:t>Description</w:t>
            </w:r>
          </w:p>
        </w:tc>
      </w:tr>
      <w:tr>
        <w:tc>
          <w:tcPr>
            <w:tcW w:type="dxa" w:w="1984"/>
            <w:shd w:fill="F2F6FA" w:val="clear"/>
          </w:tcPr>
          <w:p>
            <w:r>
              <w:rPr>
                <w:rFonts w:ascii="Calibri" w:hAnsi="Calibri"/>
                <w:b w:val="0"/>
                <w:color w:val="333333"/>
                <w:sz w:val="18"/>
              </w:rPr>
              <w:t>tenant_id</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Isolation key</w:t>
            </w:r>
          </w:p>
        </w:tc>
      </w:tr>
      <w:tr>
        <w:tc>
          <w:tcPr>
            <w:tcW w:type="dxa" w:w="1984"/>
          </w:tcPr>
          <w:p>
            <w:r>
              <w:rPr>
                <w:rFonts w:ascii="Calibri" w:hAnsi="Calibri"/>
                <w:b w:val="0"/>
                <w:color w:val="333333"/>
                <w:sz w:val="18"/>
              </w:rPr>
              <w:t>asset_id</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Asset</w:t>
            </w:r>
          </w:p>
        </w:tc>
      </w:tr>
      <w:tr>
        <w:tc>
          <w:tcPr>
            <w:tcW w:type="dxa" w:w="1984"/>
            <w:shd w:fill="F2F6FA" w:val="clear"/>
          </w:tcPr>
          <w:p>
            <w:r>
              <w:rPr>
                <w:rFonts w:ascii="Calibri" w:hAnsi="Calibri"/>
                <w:b w:val="0"/>
                <w:color w:val="333333"/>
                <w:sz w:val="18"/>
              </w:rPr>
              <w:t>signal</w:t>
            </w:r>
          </w:p>
        </w:tc>
        <w:tc>
          <w:tcPr>
            <w:tcW w:type="dxa" w:w="1587"/>
            <w:shd w:fill="F2F6FA" w:val="clear"/>
          </w:tcPr>
          <w:p>
            <w:r>
              <w:rPr>
                <w:rFonts w:ascii="Calibri" w:hAnsi="Calibri"/>
                <w:b w:val="0"/>
                <w:color w:val="333333"/>
                <w:sz w:val="18"/>
              </w:rPr>
              <w:t>TEXT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Signal</w:t>
            </w:r>
          </w:p>
        </w:tc>
      </w:tr>
      <w:tr>
        <w:tc>
          <w:tcPr>
            <w:tcW w:type="dxa" w:w="1984"/>
          </w:tcPr>
          <w:p>
            <w:r>
              <w:rPr>
                <w:rFonts w:ascii="Calibri" w:hAnsi="Calibri"/>
                <w:b w:val="0"/>
                <w:color w:val="333333"/>
                <w:sz w:val="18"/>
              </w:rPr>
              <w:t>bucket</w:t>
            </w:r>
          </w:p>
        </w:tc>
        <w:tc>
          <w:tcPr>
            <w:tcW w:type="dxa" w:w="1587"/>
          </w:tcPr>
          <w:p>
            <w:r>
              <w:rPr>
                <w:rFonts w:ascii="Calibri" w:hAnsi="Calibri"/>
                <w:b w:val="0"/>
                <w:color w:val="333333"/>
                <w:sz w:val="18"/>
              </w:rPr>
              <w:t>TIMESTAMPTZ</w:t>
            </w:r>
          </w:p>
        </w:tc>
        <w:tc>
          <w:tcPr>
            <w:tcW w:type="dxa" w:w="850"/>
          </w:tcPr>
          <w:p>
            <w:r>
              <w:rPr>
                <w:rFonts w:ascii="Calibri" w:hAnsi="Calibri"/>
                <w:b w:val="0"/>
                <w:color w:val="333333"/>
                <w:sz w:val="18"/>
              </w:rPr>
              <w:t>NO</w:t>
            </w:r>
          </w:p>
        </w:tc>
        <w:tc>
          <w:tcPr>
            <w:tcW w:type="dxa" w:w="1247"/>
          </w:tcPr>
          <w:p>
            <w:r>
              <w:rPr>
                <w:rFonts w:ascii="Calibri" w:hAnsi="Calibri"/>
                <w:b w:val="0"/>
                <w:color w:val="333333"/>
                <w:sz w:val="18"/>
              </w:rPr>
              <w:t>-</w:t>
            </w:r>
          </w:p>
        </w:tc>
        <w:tc>
          <w:tcPr>
            <w:tcW w:type="dxa" w:w="3969"/>
          </w:tcPr>
          <w:p>
            <w:r>
              <w:rPr>
                <w:rFonts w:ascii="Calibri" w:hAnsi="Calibri"/>
                <w:b w:val="0"/>
                <w:color w:val="333333"/>
                <w:sz w:val="18"/>
              </w:rPr>
              <w:t>time_bucket over ts at 1 minute / 1 hour / 1 day</w:t>
            </w:r>
          </w:p>
        </w:tc>
      </w:tr>
      <w:tr>
        <w:tc>
          <w:tcPr>
            <w:tcW w:type="dxa" w:w="1984"/>
            <w:shd w:fill="F2F6FA" w:val="clear"/>
          </w:tcPr>
          <w:p>
            <w:r>
              <w:rPr>
                <w:rFonts w:ascii="Calibri" w:hAnsi="Calibri"/>
                <w:b w:val="0"/>
                <w:color w:val="333333"/>
                <w:sz w:val="18"/>
              </w:rPr>
              <w:t>count</w:t>
            </w:r>
          </w:p>
        </w:tc>
        <w:tc>
          <w:tcPr>
            <w:tcW w:type="dxa" w:w="1587"/>
            <w:shd w:fill="F2F6FA" w:val="clear"/>
          </w:tcPr>
          <w:p>
            <w:r>
              <w:rPr>
                <w:rFonts w:ascii="Calibri" w:hAnsi="Calibri"/>
                <w:b w:val="0"/>
                <w:color w:val="333333"/>
                <w:sz w:val="18"/>
              </w:rPr>
              <w:t>BIGINT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Samples of at least UNCERTAIN quality with a non-null value</w:t>
            </w:r>
          </w:p>
        </w:tc>
      </w:tr>
      <w:tr>
        <w:tc>
          <w:tcPr>
            <w:tcW w:type="dxa" w:w="1984"/>
          </w:tcPr>
          <w:p>
            <w:r>
              <w:rPr>
                <w:rFonts w:ascii="Calibri" w:hAnsi="Calibri"/>
                <w:b w:val="0"/>
                <w:color w:val="333333"/>
                <w:sz w:val="18"/>
              </w:rPr>
              <w:t>sum_value</w:t>
            </w:r>
          </w:p>
        </w:tc>
        <w:tc>
          <w:tcPr>
            <w:tcW w:type="dxa" w:w="1587"/>
          </w:tcPr>
          <w:p>
            <w:r>
              <w:rPr>
                <w:rFonts w:ascii="Calibri" w:hAnsi="Calibri"/>
                <w:b w:val="0"/>
                <w:color w:val="333333"/>
                <w:sz w:val="18"/>
              </w:rPr>
              <w:t>DOUBLE PRECISION</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Sum — stored instead of avg so a mean is correct at any resolution</w:t>
            </w:r>
          </w:p>
        </w:tc>
      </w:tr>
      <w:tr>
        <w:tc>
          <w:tcPr>
            <w:tcW w:type="dxa" w:w="1984"/>
            <w:shd w:fill="F2F6FA" w:val="clear"/>
          </w:tcPr>
          <w:p>
            <w:r>
              <w:rPr>
                <w:rFonts w:ascii="Calibri" w:hAnsi="Calibri"/>
                <w:b w:val="0"/>
                <w:color w:val="333333"/>
                <w:sz w:val="18"/>
              </w:rPr>
              <w:t>min_value / max_value</w:t>
            </w:r>
          </w:p>
        </w:tc>
        <w:tc>
          <w:tcPr>
            <w:tcW w:type="dxa" w:w="1587"/>
            <w:shd w:fill="F2F6FA" w:val="clear"/>
          </w:tcPr>
          <w:p>
            <w:r>
              <w:rPr>
                <w:rFonts w:ascii="Calibri" w:hAnsi="Calibri"/>
                <w:b w:val="0"/>
                <w:color w:val="333333"/>
                <w:sz w:val="18"/>
              </w:rPr>
              <w:t>DOUBLE PRECISION</w:t>
            </w:r>
          </w:p>
        </w:tc>
        <w:tc>
          <w:tcPr>
            <w:tcW w:type="dxa" w:w="850"/>
            <w:shd w:fill="F2F6FA" w:val="clear"/>
          </w:tcPr>
          <w:p>
            <w:r>
              <w:rPr>
                <w:rFonts w:ascii="Calibri" w:hAnsi="Calibri"/>
                <w:b w:val="0"/>
                <w:color w:val="333333"/>
                <w:sz w:val="18"/>
              </w:rPr>
              <w:t>YES</w:t>
            </w:r>
          </w:p>
        </w:tc>
        <w:tc>
          <w:tcPr>
            <w:tcW w:type="dxa" w:w="1247"/>
            <w:shd w:fill="F2F6FA" w:val="clear"/>
          </w:tcPr>
          <w:p>
            <w:r>
              <w:rPr>
                <w:rFonts w:ascii="Calibri" w:hAnsi="Calibri"/>
                <w:b w:val="0"/>
                <w:color w:val="333333"/>
                <w:sz w:val="18"/>
              </w:rPr>
              <w:t>NULL</w:t>
            </w:r>
          </w:p>
        </w:tc>
        <w:tc>
          <w:tcPr>
            <w:tcW w:type="dxa" w:w="3969"/>
            <w:shd w:fill="F2F6FA" w:val="clear"/>
          </w:tcPr>
          <w:p>
            <w:r>
              <w:rPr>
                <w:rFonts w:ascii="Calibri" w:hAnsi="Calibri"/>
                <w:b w:val="0"/>
                <w:color w:val="333333"/>
                <w:sz w:val="18"/>
              </w:rPr>
              <w:t>Range within the bucket</w:t>
            </w:r>
          </w:p>
        </w:tc>
      </w:tr>
      <w:tr>
        <w:tc>
          <w:tcPr>
            <w:tcW w:type="dxa" w:w="1984"/>
          </w:tcPr>
          <w:p>
            <w:r>
              <w:rPr>
                <w:rFonts w:ascii="Calibri" w:hAnsi="Calibri"/>
                <w:b w:val="0"/>
                <w:color w:val="333333"/>
                <w:sz w:val="18"/>
              </w:rPr>
              <w:t>first_value / last_value</w:t>
            </w:r>
          </w:p>
        </w:tc>
        <w:tc>
          <w:tcPr>
            <w:tcW w:type="dxa" w:w="1587"/>
          </w:tcPr>
          <w:p>
            <w:r>
              <w:rPr>
                <w:rFonts w:ascii="Calibri" w:hAnsi="Calibri"/>
                <w:b w:val="0"/>
                <w:color w:val="333333"/>
                <w:sz w:val="18"/>
              </w:rPr>
              <w:t>DOUBLE PRECISION</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Endpoints within the bucket</w:t>
            </w:r>
          </w:p>
        </w:tc>
      </w:tr>
      <w:tr>
        <w:tc>
          <w:tcPr>
            <w:tcW w:type="dxa" w:w="1984"/>
            <w:shd w:fill="F2F6FA" w:val="clear"/>
          </w:tcPr>
          <w:p>
            <w:r>
              <w:rPr>
                <w:rFonts w:ascii="Calibri" w:hAnsi="Calibri"/>
                <w:b w:val="0"/>
                <w:color w:val="333333"/>
                <w:sz w:val="18"/>
              </w:rPr>
              <w:t>bad_count</w:t>
            </w:r>
          </w:p>
        </w:tc>
        <w:tc>
          <w:tcPr>
            <w:tcW w:type="dxa" w:w="1587"/>
            <w:shd w:fill="F2F6FA" w:val="clear"/>
          </w:tcPr>
          <w:p>
            <w:r>
              <w:rPr>
                <w:rFonts w:ascii="Calibri" w:hAnsi="Calibri"/>
                <w:b w:val="0"/>
                <w:color w:val="333333"/>
                <w:sz w:val="18"/>
              </w:rPr>
              <w:t>BIGINT</w:t>
            </w:r>
          </w:p>
        </w:tc>
        <w:tc>
          <w:tcPr>
            <w:tcW w:type="dxa" w:w="850"/>
            <w:shd w:fill="F2F6FA" w:val="clear"/>
          </w:tcPr>
          <w:p>
            <w:r>
              <w:rPr>
                <w:rFonts w:ascii="Calibri" w:hAnsi="Calibri"/>
                <w:b w:val="0"/>
                <w:color w:val="333333"/>
                <w:sz w:val="18"/>
              </w:rPr>
              <w:t>NO</w:t>
            </w:r>
          </w:p>
        </w:tc>
        <w:tc>
          <w:tcPr>
            <w:tcW w:type="dxa" w:w="1247"/>
            <w:shd w:fill="F2F6FA" w:val="clear"/>
          </w:tcPr>
          <w:p>
            <w:r>
              <w:rPr>
                <w:rFonts w:ascii="Calibri" w:hAnsi="Calibri"/>
                <w:b w:val="0"/>
                <w:color w:val="333333"/>
                <w:sz w:val="18"/>
              </w:rPr>
              <w:t>-</w:t>
            </w:r>
          </w:p>
        </w:tc>
        <w:tc>
          <w:tcPr>
            <w:tcW w:type="dxa" w:w="3969"/>
            <w:shd w:fill="F2F6FA" w:val="clear"/>
          </w:tcPr>
          <w:p>
            <w:r>
              <w:rPr>
                <w:rFonts w:ascii="Calibri" w:hAnsi="Calibri"/>
                <w:b w:val="0"/>
                <w:color w:val="333333"/>
                <w:sz w:val="18"/>
              </w:rPr>
              <w:t>BAD-quality samples, counted separately so a chart shows the real signal while data quality stays visible</w:t>
            </w:r>
          </w:p>
        </w:tc>
      </w:tr>
      <w:tr>
        <w:tc>
          <w:tcPr>
            <w:tcW w:type="dxa" w:w="1984"/>
          </w:tcPr>
          <w:p>
            <w:r>
              <w:rPr>
                <w:rFonts w:ascii="Calibri" w:hAnsi="Calibri"/>
                <w:b w:val="0"/>
                <w:color w:val="333333"/>
                <w:sz w:val="18"/>
              </w:rPr>
              <w:t>unit</w:t>
            </w:r>
          </w:p>
        </w:tc>
        <w:tc>
          <w:tcPr>
            <w:tcW w:type="dxa" w:w="1587"/>
          </w:tcPr>
          <w:p>
            <w:r>
              <w:rPr>
                <w:rFonts w:ascii="Calibri" w:hAnsi="Calibri"/>
                <w:b w:val="0"/>
                <w:color w:val="333333"/>
                <w:sz w:val="18"/>
              </w:rPr>
              <w:t>TEXT</w:t>
            </w:r>
          </w:p>
        </w:tc>
        <w:tc>
          <w:tcPr>
            <w:tcW w:type="dxa" w:w="850"/>
          </w:tcPr>
          <w:p>
            <w:r>
              <w:rPr>
                <w:rFonts w:ascii="Calibri" w:hAnsi="Calibri"/>
                <w:b w:val="0"/>
                <w:color w:val="333333"/>
                <w:sz w:val="18"/>
              </w:rPr>
              <w:t>YES</w:t>
            </w:r>
          </w:p>
        </w:tc>
        <w:tc>
          <w:tcPr>
            <w:tcW w:type="dxa" w:w="1247"/>
          </w:tcPr>
          <w:p>
            <w:r>
              <w:rPr>
                <w:rFonts w:ascii="Calibri" w:hAnsi="Calibri"/>
                <w:b w:val="0"/>
                <w:color w:val="333333"/>
                <w:sz w:val="18"/>
              </w:rPr>
              <w:t>NULL</w:t>
            </w:r>
          </w:p>
        </w:tc>
        <w:tc>
          <w:tcPr>
            <w:tcW w:type="dxa" w:w="3969"/>
          </w:tcPr>
          <w:p>
            <w:r>
              <w:rPr>
                <w:rFonts w:ascii="Calibri" w:hAnsi="Calibri"/>
                <w:b w:val="0"/>
                <w:color w:val="333333"/>
                <w:sz w:val="18"/>
              </w:rPr>
              <w:t>Unit carried through from raw</w:t>
            </w:r>
          </w:p>
        </w:tc>
      </w:tr>
    </w:tbl>
    <w:p/>
    <w:p>
      <w:r>
        <w:br w:type="page"/>
      </w:r>
    </w:p>
    <w:p>
      <w:pPr>
        <w:pStyle w:val="Heading1"/>
      </w:pPr>
      <w:r>
        <w:rPr>
          <w:rFonts w:ascii="Calibri" w:hAnsi="Calibri"/>
          <w:color w:val="1B2A4A"/>
        </w:rPr>
        <w:t>4. Graph Data Model (Neo4j)</w:t>
      </w:r>
    </w:p>
    <w:p>
      <w:pPr>
        <w:spacing w:after="120"/>
      </w:pPr>
      <w:r>
        <w:rPr>
          <w:rFonts w:ascii="Calibri" w:hAnsi="Calibri"/>
          <w:b w:val="0"/>
          <w:color w:val="333333"/>
          <w:sz w:val="22"/>
        </w:rPr>
        <w:t>The graph is shaped by the ontology, not by an ORM. graph/schema.py parses the Turtle files, discovers the taxonomy categories and applies the constraints and indexes, so the graph schema always matches the ontology it was derived from.</w:t>
      </w:r>
    </w:p>
    <w:p>
      <w:pPr>
        <w:pStyle w:val="Heading2"/>
      </w:pPr>
      <w:r>
        <w:rPr>
          <w:rFonts w:ascii="Calibri" w:hAnsi="Calibri"/>
          <w:color w:val="1B2A4A"/>
        </w:rPr>
        <w:t>4.1 The Closed Taxonomy</w:t>
      </w:r>
    </w:p>
    <w:p>
      <w:pPr>
        <w:spacing w:after="120"/>
      </w:pPr>
      <w:r>
        <w:rPr>
          <w:rFonts w:ascii="Calibri" w:hAnsi="Calibri"/>
          <w:b w:val="0"/>
          <w:color w:val="333333"/>
          <w:sz w:val="22"/>
        </w:rPr>
        <w:t>The ten categories are fixed at platform version v3. Every entity class must declare exactly one via nxr:taxonomyCategory and may never introduce an eleventh — the machine-checkable form of “domain packs extend within the taxonomy, never beyond it”. The rule is enforced by nxr:TaxonomyClosureShape against the ontology itself, which is why it is applied by SchemaService.validate_governance() rather than on every tenant write.</w:t>
      </w:r>
    </w:p>
    <w:tbl>
      <w:tblPr>
        <w:tblW w:type="auto" w:w="0"/>
        <w:jc w:val="center"/>
        <w:tblLook w:firstColumn="1" w:firstRow="1" w:lastColumn="0" w:lastRow="0" w:noHBand="0" w:noVBand="1" w:val="04A0"/>
      </w:tblPr>
      <w:tblGrid>
        <w:gridCol w:w="2880"/>
        <w:gridCol w:w="2880"/>
        <w:gridCol w:w="2880"/>
      </w:tblGrid>
      <w:tr>
        <w:tc>
          <w:tcPr>
            <w:tcW w:type="dxa" w:w="1814"/>
            <w:shd w:fill="1B2A4A" w:val="clear"/>
          </w:tcPr>
          <w:p>
            <w:r>
              <w:rPr>
                <w:rFonts w:ascii="Calibri" w:hAnsi="Calibri"/>
                <w:b/>
                <w:color w:val="FFFFFF"/>
                <w:sz w:val="20"/>
              </w:rPr>
              <w:t>Category (node label)</w:t>
            </w:r>
          </w:p>
        </w:tc>
        <w:tc>
          <w:tcPr>
            <w:tcW w:type="dxa" w:w="4139"/>
            <w:shd w:fill="1B2A4A" w:val="clear"/>
          </w:tcPr>
          <w:p>
            <w:r>
              <w:rPr>
                <w:rFonts w:ascii="Calibri" w:hAnsi="Calibri"/>
                <w:b/>
                <w:color w:val="FFFFFF"/>
                <w:sz w:val="20"/>
              </w:rPr>
              <w:t>Definition</w:t>
            </w:r>
          </w:p>
        </w:tc>
        <w:tc>
          <w:tcPr>
            <w:tcW w:type="dxa" w:w="3685"/>
            <w:shd w:fill="1B2A4A" w:val="clear"/>
          </w:tcPr>
          <w:p>
            <w:r>
              <w:rPr>
                <w:rFonts w:ascii="Calibri" w:hAnsi="Calibri"/>
                <w:b/>
                <w:color w:val="FFFFFF"/>
                <w:sz w:val="20"/>
              </w:rPr>
              <w:t>Representative classes</w:t>
            </w:r>
          </w:p>
        </w:tc>
      </w:tr>
      <w:tr>
        <w:tc>
          <w:tcPr>
            <w:tcW w:type="dxa" w:w="1814"/>
            <w:shd w:fill="F2F6FA" w:val="clear"/>
          </w:tcPr>
          <w:p>
            <w:r>
              <w:rPr>
                <w:rFonts w:ascii="Calibri" w:hAnsi="Calibri"/>
                <w:b w:val="0"/>
                <w:color w:val="333333"/>
                <w:sz w:val="18"/>
              </w:rPr>
              <w:t>PhysicalAsset</w:t>
            </w:r>
          </w:p>
        </w:tc>
        <w:tc>
          <w:tcPr>
            <w:tcW w:type="dxa" w:w="4139"/>
            <w:shd w:fill="F2F6FA" w:val="clear"/>
          </w:tcPr>
          <w:p>
            <w:r>
              <w:rPr>
                <w:rFonts w:ascii="Calibri" w:hAnsi="Calibri"/>
                <w:b w:val="0"/>
                <w:color w:val="333333"/>
                <w:sz w:val="18"/>
              </w:rPr>
              <w:t>Fixed, durable material things: equipment and sensors.</w:t>
            </w:r>
          </w:p>
        </w:tc>
        <w:tc>
          <w:tcPr>
            <w:tcW w:type="dxa" w:w="3685"/>
            <w:shd w:fill="F2F6FA" w:val="clear"/>
          </w:tcPr>
          <w:p>
            <w:r>
              <w:rPr>
                <w:rFonts w:ascii="Calibri" w:hAnsi="Calibri"/>
                <w:b w:val="0"/>
                <w:color w:val="333333"/>
                <w:sz w:val="18"/>
              </w:rPr>
              <w:t>AirHandler, PVArray, Inverter, Chiller, Transformer</w:t>
            </w:r>
          </w:p>
        </w:tc>
      </w:tr>
      <w:tr>
        <w:tc>
          <w:tcPr>
            <w:tcW w:type="dxa" w:w="1814"/>
          </w:tcPr>
          <w:p>
            <w:r>
              <w:rPr>
                <w:rFonts w:ascii="Calibri" w:hAnsi="Calibri"/>
                <w:b w:val="0"/>
                <w:color w:val="333333"/>
                <w:sz w:val="18"/>
              </w:rPr>
              <w:t>MobileAsset</w:t>
            </w:r>
          </w:p>
        </w:tc>
        <w:tc>
          <w:tcPr>
            <w:tcW w:type="dxa" w:w="4139"/>
          </w:tcPr>
          <w:p>
            <w:r>
              <w:rPr>
                <w:rFonts w:ascii="Calibri" w:hAnsi="Calibri"/>
                <w:b w:val="0"/>
                <w:color w:val="333333"/>
                <w:sz w:val="18"/>
              </w:rPr>
              <w:t>Material things whose normal operation involves moving.</w:t>
            </w:r>
          </w:p>
        </w:tc>
        <w:tc>
          <w:tcPr>
            <w:tcW w:type="dxa" w:w="3685"/>
          </w:tcPr>
          <w:p>
            <w:r>
              <w:rPr>
                <w:rFonts w:ascii="Calibri" w:hAnsi="Calibri"/>
                <w:b w:val="0"/>
                <w:color w:val="333333"/>
                <w:sz w:val="18"/>
              </w:rPr>
              <w:t>RollingStock, Tram, Vehicle, Aircraft, Vessel</w:t>
            </w:r>
          </w:p>
        </w:tc>
      </w:tr>
      <w:tr>
        <w:tc>
          <w:tcPr>
            <w:tcW w:type="dxa" w:w="1814"/>
            <w:shd w:fill="F2F6FA" w:val="clear"/>
          </w:tcPr>
          <w:p>
            <w:r>
              <w:rPr>
                <w:rFonts w:ascii="Calibri" w:hAnsi="Calibri"/>
                <w:b w:val="0"/>
                <w:color w:val="333333"/>
                <w:sz w:val="18"/>
              </w:rPr>
              <w:t>Actor</w:t>
            </w:r>
          </w:p>
        </w:tc>
        <w:tc>
          <w:tcPr>
            <w:tcW w:type="dxa" w:w="4139"/>
            <w:shd w:fill="F2F6FA" w:val="clear"/>
          </w:tcPr>
          <w:p>
            <w:r>
              <w:rPr>
                <w:rFonts w:ascii="Calibri" w:hAnsi="Calibri"/>
                <w:b w:val="0"/>
                <w:color w:val="333333"/>
                <w:sz w:val="18"/>
              </w:rPr>
              <w:t>Humans, teams, or organisational units that take action.</w:t>
            </w:r>
          </w:p>
        </w:tc>
        <w:tc>
          <w:tcPr>
            <w:tcW w:type="dxa" w:w="3685"/>
            <w:shd w:fill="F2F6FA" w:val="clear"/>
          </w:tcPr>
          <w:p>
            <w:r>
              <w:rPr>
                <w:rFonts w:ascii="Calibri" w:hAnsi="Calibri"/>
                <w:b w:val="0"/>
                <w:color w:val="333333"/>
                <w:sz w:val="18"/>
              </w:rPr>
              <w:t>Technician, ClinicalTeam, OperationsUnit</w:t>
            </w:r>
          </w:p>
        </w:tc>
      </w:tr>
      <w:tr>
        <w:tc>
          <w:tcPr>
            <w:tcW w:type="dxa" w:w="1814"/>
          </w:tcPr>
          <w:p>
            <w:r>
              <w:rPr>
                <w:rFonts w:ascii="Calibri" w:hAnsi="Calibri"/>
                <w:b w:val="0"/>
                <w:color w:val="333333"/>
                <w:sz w:val="18"/>
              </w:rPr>
              <w:t>Location</w:t>
            </w:r>
          </w:p>
        </w:tc>
        <w:tc>
          <w:tcPr>
            <w:tcW w:type="dxa" w:w="4139"/>
          </w:tcPr>
          <w:p>
            <w:r>
              <w:rPr>
                <w:rFonts w:ascii="Calibri" w:hAnsi="Calibri"/>
                <w:b w:val="0"/>
                <w:color w:val="333333"/>
                <w:sz w:val="18"/>
              </w:rPr>
              <w:t>Bounded places: sites and spaces.</w:t>
            </w:r>
          </w:p>
        </w:tc>
        <w:tc>
          <w:tcPr>
            <w:tcW w:type="dxa" w:w="3685"/>
          </w:tcPr>
          <w:p>
            <w:r>
              <w:rPr>
                <w:rFonts w:ascii="Calibri" w:hAnsi="Calibri"/>
                <w:b w:val="0"/>
                <w:color w:val="333333"/>
                <w:sz w:val="18"/>
              </w:rPr>
              <w:t>Site, Space, Zone, Ward, Platform</w:t>
            </w:r>
          </w:p>
        </w:tc>
      </w:tr>
      <w:tr>
        <w:tc>
          <w:tcPr>
            <w:tcW w:type="dxa" w:w="1814"/>
            <w:shd w:fill="F2F6FA" w:val="clear"/>
          </w:tcPr>
          <w:p>
            <w:r>
              <w:rPr>
                <w:rFonts w:ascii="Calibri" w:hAnsi="Calibri"/>
                <w:b w:val="0"/>
                <w:color w:val="333333"/>
                <w:sz w:val="18"/>
              </w:rPr>
              <w:t>Process</w:t>
            </w:r>
          </w:p>
        </w:tc>
        <w:tc>
          <w:tcPr>
            <w:tcW w:type="dxa" w:w="4139"/>
            <w:shd w:fill="F2F6FA" w:val="clear"/>
          </w:tcPr>
          <w:p>
            <w:r>
              <w:rPr>
                <w:rFonts w:ascii="Calibri" w:hAnsi="Calibri"/>
                <w:b w:val="0"/>
                <w:color w:val="333333"/>
                <w:sz w:val="18"/>
              </w:rPr>
              <w:t>Activities that unfold over time.</w:t>
            </w:r>
          </w:p>
        </w:tc>
        <w:tc>
          <w:tcPr>
            <w:tcW w:type="dxa" w:w="3685"/>
            <w:shd w:fill="F2F6FA" w:val="clear"/>
          </w:tcPr>
          <w:p>
            <w:r>
              <w:rPr>
                <w:rFonts w:ascii="Calibri" w:hAnsi="Calibri"/>
                <w:b w:val="0"/>
                <w:color w:val="333333"/>
                <w:sz w:val="18"/>
              </w:rPr>
              <w:t>MaintenanceTask, Surgery, ChargingSession, Mission</w:t>
            </w:r>
          </w:p>
        </w:tc>
      </w:tr>
      <w:tr>
        <w:tc>
          <w:tcPr>
            <w:tcW w:type="dxa" w:w="1814"/>
          </w:tcPr>
          <w:p>
            <w:r>
              <w:rPr>
                <w:rFonts w:ascii="Calibri" w:hAnsi="Calibri"/>
                <w:b w:val="0"/>
                <w:color w:val="333333"/>
                <w:sz w:val="18"/>
              </w:rPr>
              <w:t>Observation</w:t>
            </w:r>
          </w:p>
        </w:tc>
        <w:tc>
          <w:tcPr>
            <w:tcW w:type="dxa" w:w="4139"/>
          </w:tcPr>
          <w:p>
            <w:r>
              <w:rPr>
                <w:rFonts w:ascii="Calibri" w:hAnsi="Calibri"/>
                <w:b w:val="0"/>
                <w:color w:val="333333"/>
                <w:sz w:val="18"/>
              </w:rPr>
              <w:t>Timestamped measurements of observable properties.</w:t>
            </w:r>
          </w:p>
        </w:tc>
        <w:tc>
          <w:tcPr>
            <w:tcW w:type="dxa" w:w="3685"/>
          </w:tcPr>
          <w:p>
            <w:r>
              <w:rPr>
                <w:rFonts w:ascii="Calibri" w:hAnsi="Calibri"/>
                <w:b w:val="0"/>
                <w:color w:val="333333"/>
                <w:sz w:val="18"/>
              </w:rPr>
              <w:t>TemperatureObservation, IrradianceObservation</w:t>
            </w:r>
          </w:p>
        </w:tc>
      </w:tr>
      <w:tr>
        <w:tc>
          <w:tcPr>
            <w:tcW w:type="dxa" w:w="1814"/>
            <w:shd w:fill="F2F6FA" w:val="clear"/>
          </w:tcPr>
          <w:p>
            <w:r>
              <w:rPr>
                <w:rFonts w:ascii="Calibri" w:hAnsi="Calibri"/>
                <w:b w:val="0"/>
                <w:color w:val="333333"/>
                <w:sz w:val="18"/>
              </w:rPr>
              <w:t>Finding</w:t>
            </w:r>
          </w:p>
        </w:tc>
        <w:tc>
          <w:tcPr>
            <w:tcW w:type="dxa" w:w="4139"/>
            <w:shd w:fill="F2F6FA" w:val="clear"/>
          </w:tcPr>
          <w:p>
            <w:r>
              <w:rPr>
                <w:rFonts w:ascii="Calibri" w:hAnsi="Calibri"/>
                <w:b w:val="0"/>
                <w:color w:val="333333"/>
                <w:sz w:val="18"/>
              </w:rPr>
              <w:t>Atomic anomaly signals from behaviour models.</w:t>
            </w:r>
          </w:p>
        </w:tc>
        <w:tc>
          <w:tcPr>
            <w:tcW w:type="dxa" w:w="3685"/>
            <w:shd w:fill="F2F6FA" w:val="clear"/>
          </w:tcPr>
          <w:p>
            <w:r>
              <w:rPr>
                <w:rFonts w:ascii="Calibri" w:hAnsi="Calibri"/>
                <w:b w:val="0"/>
                <w:color w:val="333333"/>
                <w:sz w:val="18"/>
              </w:rPr>
              <w:t>Finding (severity, behaviourId, evidence)</w:t>
            </w:r>
          </w:p>
        </w:tc>
      </w:tr>
      <w:tr>
        <w:tc>
          <w:tcPr>
            <w:tcW w:type="dxa" w:w="1814"/>
          </w:tcPr>
          <w:p>
            <w:r>
              <w:rPr>
                <w:rFonts w:ascii="Calibri" w:hAnsi="Calibri"/>
                <w:b w:val="0"/>
                <w:color w:val="333333"/>
                <w:sz w:val="18"/>
              </w:rPr>
              <w:t>Incident</w:t>
            </w:r>
          </w:p>
        </w:tc>
        <w:tc>
          <w:tcPr>
            <w:tcW w:type="dxa" w:w="4139"/>
          </w:tcPr>
          <w:p>
            <w:r>
              <w:rPr>
                <w:rFonts w:ascii="Calibri" w:hAnsi="Calibri"/>
                <w:b w:val="0"/>
                <w:color w:val="333333"/>
                <w:sz w:val="18"/>
              </w:rPr>
              <w:t>Correlated groups of findings — the unit the operator acts on.</w:t>
            </w:r>
          </w:p>
        </w:tc>
        <w:tc>
          <w:tcPr>
            <w:tcW w:type="dxa" w:w="3685"/>
          </w:tcPr>
          <w:p>
            <w:r>
              <w:rPr>
                <w:rFonts w:ascii="Calibri" w:hAnsi="Calibri"/>
                <w:b w:val="0"/>
                <w:color w:val="333333"/>
                <w:sz w:val="18"/>
              </w:rPr>
              <w:t>Incident (rolls up related findings)</w:t>
            </w:r>
          </w:p>
        </w:tc>
      </w:tr>
      <w:tr>
        <w:tc>
          <w:tcPr>
            <w:tcW w:type="dxa" w:w="1814"/>
            <w:shd w:fill="F2F6FA" w:val="clear"/>
          </w:tcPr>
          <w:p>
            <w:r>
              <w:rPr>
                <w:rFonts w:ascii="Calibri" w:hAnsi="Calibri"/>
                <w:b w:val="0"/>
                <w:color w:val="333333"/>
                <w:sz w:val="18"/>
              </w:rPr>
              <w:t>Document</w:t>
            </w:r>
          </w:p>
        </w:tc>
        <w:tc>
          <w:tcPr>
            <w:tcW w:type="dxa" w:w="4139"/>
            <w:shd w:fill="F2F6FA" w:val="clear"/>
          </w:tcPr>
          <w:p>
            <w:r>
              <w:rPr>
                <w:rFonts w:ascii="Calibri" w:hAnsi="Calibri"/>
                <w:b w:val="0"/>
                <w:color w:val="333333"/>
                <w:sz w:val="18"/>
              </w:rPr>
              <w:t>Copyable information artefacts, including diagnoses and recommendations.</w:t>
            </w:r>
          </w:p>
        </w:tc>
        <w:tc>
          <w:tcPr>
            <w:tcW w:type="dxa" w:w="3685"/>
            <w:shd w:fill="F2F6FA" w:val="clear"/>
          </w:tcPr>
          <w:p>
            <w:r>
              <w:rPr>
                <w:rFonts w:ascii="Calibri" w:hAnsi="Calibri"/>
                <w:b w:val="0"/>
                <w:color w:val="333333"/>
                <w:sz w:val="18"/>
              </w:rPr>
              <w:t>Diagnosis, WorkOrder, Procedure, IncidentReport</w:t>
            </w:r>
          </w:p>
        </w:tc>
      </w:tr>
      <w:tr>
        <w:tc>
          <w:tcPr>
            <w:tcW w:type="dxa" w:w="1814"/>
          </w:tcPr>
          <w:p>
            <w:r>
              <w:rPr>
                <w:rFonts w:ascii="Calibri" w:hAnsi="Calibri"/>
                <w:b w:val="0"/>
                <w:color w:val="333333"/>
                <w:sz w:val="18"/>
              </w:rPr>
              <w:t>Capability</w:t>
            </w:r>
          </w:p>
        </w:tc>
        <w:tc>
          <w:tcPr>
            <w:tcW w:type="dxa" w:w="4139"/>
          </w:tcPr>
          <w:p>
            <w:r>
              <w:rPr>
                <w:rFonts w:ascii="Calibri" w:hAnsi="Calibri"/>
                <w:b w:val="0"/>
                <w:color w:val="333333"/>
                <w:sz w:val="18"/>
              </w:rPr>
              <w:t>The platform's self-model: bundles, adapters, models, ports, failure modes.</w:t>
            </w:r>
          </w:p>
        </w:tc>
        <w:tc>
          <w:tcPr>
            <w:tcW w:type="dxa" w:w="3685"/>
          </w:tcPr>
          <w:p>
            <w:r>
              <w:rPr>
                <w:rFonts w:ascii="Calibri" w:hAnsi="Calibri"/>
                <w:b w:val="0"/>
                <w:color w:val="333333"/>
                <w:sz w:val="18"/>
              </w:rPr>
              <w:t>CapabilityBundle, BehaviourModel, FailureMode, Adapter</w:t>
            </w:r>
          </w:p>
        </w:tc>
      </w:tr>
    </w:tbl>
    <w:p/>
    <w:p>
      <w:pPr>
        <w:spacing w:after="120"/>
      </w:pPr>
      <w:r>
        <w:rPr>
          <w:rFonts w:ascii="Calibri" w:hAnsi="Calibri"/>
          <w:b w:val="0"/>
          <w:color w:val="333333"/>
          <w:sz w:val="22"/>
        </w:rPr>
        <w:t>Structural classes — StateMachine, State, Transition, QuantitativeResult and TaxonomyCategory itself — are marked nxr:isStructural true and are exempt from the category requirement, because they are internal plumbing rather than top-level entities.</w:t>
      </w:r>
    </w:p>
    <w:p>
      <w:pPr>
        <w:pStyle w:val="Heading2"/>
      </w:pPr>
      <w:r>
        <w:rPr>
          <w:rFonts w:ascii="Calibri" w:hAnsi="Calibri"/>
          <w:color w:val="1B2A4A"/>
        </w:rPr>
        <w:t>4.2 Node and Relationship Shape</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Element</w:t>
            </w:r>
          </w:p>
        </w:tc>
        <w:tc>
          <w:tcPr>
            <w:tcW w:type="dxa" w:w="7370"/>
            <w:shd w:fill="1B2A4A" w:val="clear"/>
          </w:tcPr>
          <w:p>
            <w:r>
              <w:rPr>
                <w:rFonts w:ascii="Calibri" w:hAnsi="Calibri"/>
                <w:b/>
                <w:color w:val="FFFFFF"/>
                <w:sz w:val="20"/>
              </w:rPr>
              <w:t>Definition</w:t>
            </w:r>
          </w:p>
        </w:tc>
      </w:tr>
      <w:tr>
        <w:tc>
          <w:tcPr>
            <w:tcW w:type="dxa" w:w="2268"/>
            <w:shd w:fill="F2F6FA" w:val="clear"/>
          </w:tcPr>
          <w:p>
            <w:r>
              <w:rPr>
                <w:rFonts w:ascii="Calibri" w:hAnsi="Calibri"/>
                <w:b w:val="0"/>
                <w:color w:val="333333"/>
                <w:sz w:val="18"/>
              </w:rPr>
              <w:t>Uniqueness constraint</w:t>
            </w:r>
          </w:p>
        </w:tc>
        <w:tc>
          <w:tcPr>
            <w:tcW w:type="dxa" w:w="7370"/>
            <w:shd w:fill="F2F6FA" w:val="clear"/>
          </w:tcPr>
          <w:p>
            <w:r>
              <w:rPr>
                <w:rFonts w:ascii="Calibri" w:hAnsi="Calibri"/>
                <w:b w:val="0"/>
                <w:color w:val="333333"/>
                <w:sz w:val="18"/>
              </w:rPr>
              <w:t>One per category: FOR (n:&lt;Category&gt;) REQUIRE (n.tenantId, n.id) IS UNIQUE. Tenant isolation is therefore a property of the key, not of a query filter.</w:t>
            </w:r>
          </w:p>
        </w:tc>
      </w:tr>
      <w:tr>
        <w:tc>
          <w:tcPr>
            <w:tcW w:type="dxa" w:w="2268"/>
          </w:tcPr>
          <w:p>
            <w:r>
              <w:rPr>
                <w:rFonts w:ascii="Calibri" w:hAnsi="Calibri"/>
                <w:b w:val="0"/>
                <w:color w:val="333333"/>
                <w:sz w:val="18"/>
              </w:rPr>
              <w:t>Index</w:t>
            </w:r>
          </w:p>
        </w:tc>
        <w:tc>
          <w:tcPr>
            <w:tcW w:type="dxa" w:w="7370"/>
          </w:tcPr>
          <w:p>
            <w:r>
              <w:rPr>
                <w:rFonts w:ascii="Calibri" w:hAnsi="Calibri"/>
                <w:b w:val="0"/>
                <w:color w:val="333333"/>
                <w:sz w:val="18"/>
              </w:rPr>
              <w:t>One per category on n.updatedAt, serving feed and change-detection queries.</w:t>
            </w:r>
          </w:p>
        </w:tc>
      </w:tr>
      <w:tr>
        <w:tc>
          <w:tcPr>
            <w:tcW w:type="dxa" w:w="2268"/>
            <w:shd w:fill="F2F6FA" w:val="clear"/>
          </w:tcPr>
          <w:p>
            <w:r>
              <w:rPr>
                <w:rFonts w:ascii="Calibri" w:hAnsi="Calibri"/>
                <w:b w:val="0"/>
                <w:color w:val="333333"/>
                <w:sz w:val="18"/>
              </w:rPr>
              <w:t>Core node properties</w:t>
            </w:r>
          </w:p>
        </w:tc>
        <w:tc>
          <w:tcPr>
            <w:tcW w:type="dxa" w:w="7370"/>
            <w:shd w:fill="F2F6FA" w:val="clear"/>
          </w:tcPr>
          <w:p>
            <w:r>
              <w:rPr>
                <w:rFonts w:ascii="Calibri" w:hAnsi="Calibri"/>
                <w:b w:val="0"/>
                <w:color w:val="333333"/>
                <w:sz w:val="18"/>
              </w:rPr>
              <w:t>tenantId, id, canonicalType (the OWL class IRI), displayName, status, updatedAt.</w:t>
            </w:r>
          </w:p>
        </w:tc>
      </w:tr>
      <w:tr>
        <w:tc>
          <w:tcPr>
            <w:tcW w:type="dxa" w:w="2268"/>
          </w:tcPr>
          <w:p>
            <w:r>
              <w:rPr>
                <w:rFonts w:ascii="Calibri" w:hAnsi="Calibri"/>
                <w:b w:val="0"/>
                <w:color w:val="333333"/>
                <w:sz w:val="18"/>
              </w:rPr>
              <w:t>Live signal properties</w:t>
            </w:r>
          </w:p>
        </w:tc>
        <w:tc>
          <w:tcPr>
            <w:tcW w:type="dxa" w:w="7370"/>
          </w:tcPr>
          <w:p>
            <w:r>
              <w:rPr>
                <w:rFonts w:ascii="Calibri" w:hAnsi="Calibri"/>
                <w:b w:val="0"/>
                <w:color w:val="333333"/>
                <w:sz w:val="18"/>
              </w:rPr>
              <w:t>The class's observable properties, written onto the node by the machine-twin runtime's persist() so the 3-D inspector shows measured values rather than seed defaults.</w:t>
            </w:r>
          </w:p>
        </w:tc>
      </w:tr>
      <w:tr>
        <w:tc>
          <w:tcPr>
            <w:tcW w:type="dxa" w:w="2268"/>
            <w:shd w:fill="F2F6FA" w:val="clear"/>
          </w:tcPr>
          <w:p>
            <w:r>
              <w:rPr>
                <w:rFonts w:ascii="Calibri" w:hAnsi="Calibri"/>
                <w:b w:val="0"/>
                <w:color w:val="333333"/>
                <w:sz w:val="18"/>
              </w:rPr>
              <w:t>Relationships</w:t>
            </w:r>
          </w:p>
        </w:tc>
        <w:tc>
          <w:tcPr>
            <w:tcW w:type="dxa" w:w="7370"/>
            <w:shd w:fill="F2F6FA" w:val="clear"/>
          </w:tcPr>
          <w:p>
            <w:r>
              <w:rPr>
                <w:rFonts w:ascii="Calibri" w:hAnsi="Calibri"/>
                <w:b w:val="0"/>
                <w:color w:val="333333"/>
                <w:sz w:val="18"/>
              </w:rPr>
              <w:t>Ontology object properties written as CURIEs and resolved through graph/writer.py PREFIXES — an unregistered prefix is rejected rather than creating an untyped edge.</w:t>
            </w:r>
          </w:p>
        </w:tc>
      </w:tr>
      <w:tr>
        <w:tc>
          <w:tcPr>
            <w:tcW w:type="dxa" w:w="2268"/>
          </w:tcPr>
          <w:p>
            <w:r>
              <w:rPr>
                <w:rFonts w:ascii="Calibri" w:hAnsi="Calibri"/>
                <w:b w:val="0"/>
                <w:color w:val="333333"/>
                <w:sz w:val="18"/>
              </w:rPr>
              <w:t>:Finding nodes</w:t>
            </w:r>
          </w:p>
        </w:tc>
        <w:tc>
          <w:tcPr>
            <w:tcW w:type="dxa" w:w="7370"/>
          </w:tcPr>
          <w:p>
            <w:r>
              <w:rPr>
                <w:rFonts w:ascii="Calibri" w:hAnsi="Calibri"/>
                <w:b w:val="0"/>
                <w:color w:val="333333"/>
                <w:sz w:val="18"/>
              </w:rPr>
              <w:t>One per emitted behaviour result, carrying behaviourId, tier (A/B/C), severity and evidence, related to the asset it concerns.</w:t>
            </w:r>
          </w:p>
        </w:tc>
      </w:tr>
      <w:tr>
        <w:tc>
          <w:tcPr>
            <w:tcW w:type="dxa" w:w="2268"/>
            <w:shd w:fill="F2F6FA" w:val="clear"/>
          </w:tcPr>
          <w:p>
            <w:r>
              <w:rPr>
                <w:rFonts w:ascii="Calibri" w:hAnsi="Calibri"/>
                <w:b w:val="0"/>
                <w:color w:val="333333"/>
                <w:sz w:val="18"/>
              </w:rPr>
              <w:t>:ChangeLog label</w:t>
            </w:r>
          </w:p>
        </w:tc>
        <w:tc>
          <w:tcPr>
            <w:tcW w:type="dxa" w:w="7370"/>
            <w:shd w:fill="F2F6FA" w:val="clear"/>
          </w:tcPr>
          <w:p>
            <w:r>
              <w:rPr>
                <w:rFonts w:ascii="Calibri" w:hAnsi="Calibri"/>
                <w:b w:val="0"/>
                <w:color w:val="333333"/>
                <w:sz w:val="18"/>
              </w:rPr>
              <w:t>The eleventh label: unique on (tenantId, id), indexed on (tenantId, seq) for chain walks and on (tenantId, entityId) for per-entity history.</w:t>
            </w:r>
          </w:p>
        </w:tc>
      </w:tr>
    </w:tbl>
    <w:p>
      <w:pPr>
        <w:pStyle w:val="Heading2"/>
      </w:pPr>
      <w:r>
        <w:rPr>
          <w:rFonts w:ascii="Calibri" w:hAnsi="Calibri"/>
          <w:color w:val="1B2A4A"/>
        </w:rPr>
        <w:t>4.3 Ontology Layers</w:t>
      </w:r>
    </w:p>
    <w:tbl>
      <w:tblPr>
        <w:tblW w:type="auto" w:w="0"/>
        <w:jc w:val="center"/>
        <w:tblLook w:firstColumn="1" w:firstRow="1" w:lastColumn="0" w:lastRow="0" w:noHBand="0" w:noVBand="1" w:val="04A0"/>
      </w:tblPr>
      <w:tblGrid>
        <w:gridCol w:w="2880"/>
        <w:gridCol w:w="2880"/>
        <w:gridCol w:w="2880"/>
      </w:tblGrid>
      <w:tr>
        <w:tc>
          <w:tcPr>
            <w:tcW w:type="dxa" w:w="2268"/>
            <w:shd w:fill="1B2A4A" w:val="clear"/>
          </w:tcPr>
          <w:p>
            <w:r>
              <w:rPr>
                <w:rFonts w:ascii="Calibri" w:hAnsi="Calibri"/>
                <w:b/>
                <w:color w:val="FFFFFF"/>
                <w:sz w:val="20"/>
              </w:rPr>
              <w:t>Layer</w:t>
            </w:r>
          </w:p>
        </w:tc>
        <w:tc>
          <w:tcPr>
            <w:tcW w:type="dxa" w:w="3969"/>
            <w:shd w:fill="1B2A4A" w:val="clear"/>
          </w:tcPr>
          <w:p>
            <w:r>
              <w:rPr>
                <w:rFonts w:ascii="Calibri" w:hAnsi="Calibri"/>
                <w:b/>
                <w:color w:val="FFFFFF"/>
                <w:sz w:val="20"/>
              </w:rPr>
              <w:t>Artefacts</w:t>
            </w:r>
          </w:p>
        </w:tc>
        <w:tc>
          <w:tcPr>
            <w:tcW w:type="dxa" w:w="3402"/>
            <w:shd w:fill="1B2A4A" w:val="clear"/>
          </w:tcPr>
          <w:p>
            <w:r>
              <w:rPr>
                <w:rFonts w:ascii="Calibri" w:hAnsi="Calibri"/>
                <w:b/>
                <w:color w:val="FFFFFF"/>
                <w:sz w:val="20"/>
              </w:rPr>
              <w:t>Governs</w:t>
            </w:r>
          </w:p>
        </w:tc>
      </w:tr>
      <w:tr>
        <w:tc>
          <w:tcPr>
            <w:tcW w:type="dxa" w:w="2268"/>
            <w:shd w:fill="F2F6FA" w:val="clear"/>
          </w:tcPr>
          <w:p>
            <w:r>
              <w:rPr>
                <w:rFonts w:ascii="Calibri" w:hAnsi="Calibri"/>
                <w:b w:val="0"/>
                <w:color w:val="333333"/>
                <w:sz w:val="18"/>
              </w:rPr>
              <w:t>1 — Imported upper ontologies</w:t>
            </w:r>
          </w:p>
        </w:tc>
        <w:tc>
          <w:tcPr>
            <w:tcW w:type="dxa" w:w="3969"/>
            <w:shd w:fill="F2F6FA" w:val="clear"/>
          </w:tcPr>
          <w:p>
            <w:r>
              <w:rPr>
                <w:rFonts w:ascii="Calibri" w:hAnsi="Calibri"/>
                <w:b w:val="0"/>
                <w:color w:val="333333"/>
                <w:sz w:val="18"/>
              </w:rPr>
              <w:t>imports/bfo.ttl, imports/sosa.ttl</w:t>
            </w:r>
          </w:p>
        </w:tc>
        <w:tc>
          <w:tcPr>
            <w:tcW w:type="dxa" w:w="3402"/>
            <w:shd w:fill="F2F6FA" w:val="clear"/>
          </w:tcPr>
          <w:p>
            <w:r>
              <w:rPr>
                <w:rFonts w:ascii="Calibri" w:hAnsi="Calibri"/>
                <w:b w:val="0"/>
                <w:color w:val="333333"/>
                <w:sz w:val="18"/>
              </w:rPr>
              <w:t>Continuant/occurrent distinctions and the sensor/observation vocabulary</w:t>
            </w:r>
          </w:p>
        </w:tc>
      </w:tr>
      <w:tr>
        <w:tc>
          <w:tcPr>
            <w:tcW w:type="dxa" w:w="2268"/>
          </w:tcPr>
          <w:p>
            <w:r>
              <w:rPr>
                <w:rFonts w:ascii="Calibri" w:hAnsi="Calibri"/>
                <w:b w:val="0"/>
                <w:color w:val="333333"/>
                <w:sz w:val="18"/>
              </w:rPr>
              <w:t>2 — NextXR core</w:t>
            </w:r>
          </w:p>
        </w:tc>
        <w:tc>
          <w:tcPr>
            <w:tcW w:type="dxa" w:w="3969"/>
          </w:tcPr>
          <w:p>
            <w:r>
              <w:rPr>
                <w:rFonts w:ascii="Calibri" w:hAnsi="Calibri"/>
                <w:b w:val="0"/>
                <w:color w:val="333333"/>
                <w:sz w:val="18"/>
              </w:rPr>
              <w:t>platform/nxr-classes.ttl, nxr-properties.ttl, nxr-units.ttl</w:t>
            </w:r>
          </w:p>
        </w:tc>
        <w:tc>
          <w:tcPr>
            <w:tcW w:type="dxa" w:w="3402"/>
          </w:tcPr>
          <w:p>
            <w:r>
              <w:rPr>
                <w:rFonts w:ascii="Calibri" w:hAnsi="Calibri"/>
                <w:b w:val="0"/>
                <w:color w:val="333333"/>
                <w:sz w:val="18"/>
              </w:rPr>
              <w:t>Core entity classes, observable and object properties, units</w:t>
            </w:r>
          </w:p>
        </w:tc>
      </w:tr>
      <w:tr>
        <w:tc>
          <w:tcPr>
            <w:tcW w:type="dxa" w:w="2268"/>
            <w:shd w:fill="F2F6FA" w:val="clear"/>
          </w:tcPr>
          <w:p>
            <w:r>
              <w:rPr>
                <w:rFonts w:ascii="Calibri" w:hAnsi="Calibri"/>
                <w:b w:val="0"/>
                <w:color w:val="333333"/>
                <w:sz w:val="18"/>
              </w:rPr>
              <w:t>3 — Governance</w:t>
            </w:r>
          </w:p>
        </w:tc>
        <w:tc>
          <w:tcPr>
            <w:tcW w:type="dxa" w:w="3969"/>
            <w:shd w:fill="F2F6FA" w:val="clear"/>
          </w:tcPr>
          <w:p>
            <w:r>
              <w:rPr>
                <w:rFonts w:ascii="Calibri" w:hAnsi="Calibri"/>
                <w:b w:val="0"/>
                <w:color w:val="333333"/>
                <w:sz w:val="18"/>
              </w:rPr>
              <w:t>platform/nxr-taxonomy.ttl, nxr-governance.ttl, nxr-base-shape.ttl, nxr-shapes.ttl, nxr-behavior-bindings.ttl</w:t>
            </w:r>
          </w:p>
        </w:tc>
        <w:tc>
          <w:tcPr>
            <w:tcW w:type="dxa" w:w="3402"/>
            <w:shd w:fill="F2F6FA" w:val="clear"/>
          </w:tcPr>
          <w:p>
            <w:r>
              <w:rPr>
                <w:rFonts w:ascii="Calibri" w:hAnsi="Calibri"/>
                <w:b w:val="0"/>
                <w:color w:val="333333"/>
                <w:sz w:val="18"/>
              </w:rPr>
              <w:t>The closed category set, its enforcement shape, base entity shapes and behaviour bindings</w:t>
            </w:r>
          </w:p>
        </w:tc>
      </w:tr>
      <w:tr>
        <w:tc>
          <w:tcPr>
            <w:tcW w:type="dxa" w:w="2268"/>
          </w:tcPr>
          <w:p>
            <w:r>
              <w:rPr>
                <w:rFonts w:ascii="Calibri" w:hAnsi="Calibri"/>
                <w:b w:val="0"/>
                <w:color w:val="333333"/>
                <w:sz w:val="18"/>
              </w:rPr>
              <w:t>4 — Domain packs</w:t>
            </w:r>
          </w:p>
        </w:tc>
        <w:tc>
          <w:tcPr>
            <w:tcW w:type="dxa" w:w="3969"/>
          </w:tcPr>
          <w:p>
            <w:r>
              <w:rPr>
                <w:rFonts w:ascii="Calibri" w:hAnsi="Calibri"/>
                <w:b w:val="0"/>
                <w:color w:val="333333"/>
                <w:sz w:val="18"/>
              </w:rPr>
              <w:t>packs/&lt;domain&gt;/&lt;domain&gt;-classes.ttl and -shapes.ttl</w:t>
            </w:r>
          </w:p>
        </w:tc>
        <w:tc>
          <w:tcPr>
            <w:tcW w:type="dxa" w:w="3402"/>
          </w:tcPr>
          <w:p>
            <w:r>
              <w:rPr>
                <w:rFonts w:ascii="Calibri" w:hAnsi="Calibri"/>
                <w:b w:val="0"/>
                <w:color w:val="333333"/>
                <w:sz w:val="18"/>
              </w:rPr>
              <w:t>Per-domain classes, observable properties, failure modes and value constraints</w:t>
            </w:r>
          </w:p>
        </w:tc>
      </w:tr>
    </w:tbl>
    <w:p>
      <w:r>
        <w:br w:type="page"/>
      </w:r>
    </w:p>
    <w:p>
      <w:pPr>
        <w:pStyle w:val="Heading1"/>
      </w:pPr>
      <w:r>
        <w:rPr>
          <w:rFonts w:ascii="Calibri" w:hAnsi="Calibri"/>
          <w:color w:val="1B2A4A"/>
        </w:rPr>
        <w:t>5. Data Retention, Integrity &amp; Privacy</w:t>
      </w:r>
    </w:p>
    <w:p>
      <w:pPr>
        <w:pStyle w:val="Heading2"/>
      </w:pPr>
      <w:r>
        <w:rPr>
          <w:rFonts w:ascii="Calibri" w:hAnsi="Calibri"/>
          <w:color w:val="1B2A4A"/>
        </w:rPr>
        <w:t>5.1 Retention Policies</w:t>
      </w:r>
    </w:p>
    <w:p>
      <w:pPr>
        <w:spacing w:after="120"/>
      </w:pPr>
      <w:r>
        <w:rPr>
          <w:rFonts w:ascii="Calibri" w:hAnsi="Calibri"/>
          <w:b w:val="0"/>
          <w:color w:val="333333"/>
          <w:sz w:val="22"/>
        </w:rPr>
        <w:t>Retention is declared once as a policy rather than maintained as cron jobs. Every tier is overridable per deployment for a regulatory retention floor.</w:t>
      </w:r>
    </w:p>
    <w:tbl>
      <w:tblPr>
        <w:tblW w:type="auto" w:w="0"/>
        <w:jc w:val="center"/>
        <w:tblLook w:firstColumn="1" w:firstRow="1" w:lastColumn="0" w:lastRow="0" w:noHBand="0" w:noVBand="1" w:val="04A0"/>
      </w:tblPr>
      <w:tblGrid>
        <w:gridCol w:w="2160"/>
        <w:gridCol w:w="2160"/>
        <w:gridCol w:w="2160"/>
        <w:gridCol w:w="2160"/>
      </w:tblGrid>
      <w:tr>
        <w:tc>
          <w:tcPr>
            <w:tcW w:type="dxa" w:w="1814"/>
            <w:shd w:fill="1B2A4A" w:val="clear"/>
          </w:tcPr>
          <w:p>
            <w:r>
              <w:rPr>
                <w:rFonts w:ascii="Calibri" w:hAnsi="Calibri"/>
                <w:b/>
                <w:color w:val="FFFFFF"/>
                <w:sz w:val="20"/>
              </w:rPr>
              <w:t>Data</w:t>
            </w:r>
          </w:p>
        </w:tc>
        <w:tc>
          <w:tcPr>
            <w:tcW w:type="dxa" w:w="1984"/>
            <w:shd w:fill="1B2A4A" w:val="clear"/>
          </w:tcPr>
          <w:p>
            <w:r>
              <w:rPr>
                <w:rFonts w:ascii="Calibri" w:hAnsi="Calibri"/>
                <w:b/>
                <w:color w:val="FFFFFF"/>
                <w:sz w:val="20"/>
              </w:rPr>
              <w:t>Retention</w:t>
            </w:r>
          </w:p>
        </w:tc>
        <w:tc>
          <w:tcPr>
            <w:tcW w:type="dxa" w:w="2268"/>
            <w:shd w:fill="1B2A4A" w:val="clear"/>
          </w:tcPr>
          <w:p>
            <w:r>
              <w:rPr>
                <w:rFonts w:ascii="Calibri" w:hAnsi="Calibri"/>
                <w:b/>
                <w:color w:val="FFFFFF"/>
                <w:sz w:val="20"/>
              </w:rPr>
              <w:t>Override</w:t>
            </w:r>
          </w:p>
        </w:tc>
        <w:tc>
          <w:tcPr>
            <w:tcW w:type="dxa" w:w="3572"/>
            <w:shd w:fill="1B2A4A" w:val="clear"/>
          </w:tcPr>
          <w:p>
            <w:r>
              <w:rPr>
                <w:rFonts w:ascii="Calibri" w:hAnsi="Calibri"/>
                <w:b/>
                <w:color w:val="FFFFFF"/>
                <w:sz w:val="20"/>
              </w:rPr>
              <w:t>Rationale</w:t>
            </w:r>
          </w:p>
        </w:tc>
      </w:tr>
      <w:tr>
        <w:tc>
          <w:tcPr>
            <w:tcW w:type="dxa" w:w="1814"/>
            <w:shd w:fill="F2F6FA" w:val="clear"/>
          </w:tcPr>
          <w:p>
            <w:r>
              <w:rPr>
                <w:rFonts w:ascii="Calibri" w:hAnsi="Calibri"/>
                <w:b w:val="0"/>
                <w:color w:val="333333"/>
                <w:sz w:val="18"/>
              </w:rPr>
              <w:t>measurements (raw)</w:t>
            </w:r>
          </w:p>
        </w:tc>
        <w:tc>
          <w:tcPr>
            <w:tcW w:type="dxa" w:w="1984"/>
            <w:shd w:fill="F2F6FA" w:val="clear"/>
          </w:tcPr>
          <w:p>
            <w:r>
              <w:rPr>
                <w:rFonts w:ascii="Calibri" w:hAnsi="Calibri"/>
                <w:b w:val="0"/>
                <w:color w:val="333333"/>
                <w:sz w:val="18"/>
              </w:rPr>
              <w:t>30 days</w:t>
            </w:r>
          </w:p>
        </w:tc>
        <w:tc>
          <w:tcPr>
            <w:tcW w:type="dxa" w:w="2268"/>
            <w:shd w:fill="F2F6FA" w:val="clear"/>
          </w:tcPr>
          <w:p>
            <w:r>
              <w:rPr>
                <w:rFonts w:ascii="Calibri" w:hAnsi="Calibri"/>
                <w:b w:val="0"/>
                <w:color w:val="333333"/>
                <w:sz w:val="18"/>
              </w:rPr>
              <w:t>NXR_HISTORIAN_RETENTION_RAW</w:t>
            </w:r>
          </w:p>
        </w:tc>
        <w:tc>
          <w:tcPr>
            <w:tcW w:type="dxa" w:w="3572"/>
            <w:shd w:fill="F2F6FA" w:val="clear"/>
          </w:tcPr>
          <w:p>
            <w:r>
              <w:rPr>
                <w:rFonts w:ascii="Calibri" w:hAnsi="Calibri"/>
                <w:b w:val="0"/>
                <w:color w:val="333333"/>
                <w:sz w:val="18"/>
              </w:rPr>
              <w:t>The expensive tier and the least useful once an incident is closed</w:t>
            </w:r>
          </w:p>
        </w:tc>
      </w:tr>
      <w:tr>
        <w:tc>
          <w:tcPr>
            <w:tcW w:type="dxa" w:w="1814"/>
          </w:tcPr>
          <w:p>
            <w:r>
              <w:rPr>
                <w:rFonts w:ascii="Calibri" w:hAnsi="Calibri"/>
                <w:b w:val="0"/>
                <w:color w:val="333333"/>
                <w:sz w:val="18"/>
              </w:rPr>
              <w:t>measurements_1m</w:t>
            </w:r>
          </w:p>
        </w:tc>
        <w:tc>
          <w:tcPr>
            <w:tcW w:type="dxa" w:w="1984"/>
          </w:tcPr>
          <w:p>
            <w:r>
              <w:rPr>
                <w:rFonts w:ascii="Calibri" w:hAnsi="Calibri"/>
                <w:b w:val="0"/>
                <w:color w:val="333333"/>
                <w:sz w:val="18"/>
              </w:rPr>
              <w:t>400 days</w:t>
            </w:r>
          </w:p>
        </w:tc>
        <w:tc>
          <w:tcPr>
            <w:tcW w:type="dxa" w:w="2268"/>
          </w:tcPr>
          <w:p>
            <w:r>
              <w:rPr>
                <w:rFonts w:ascii="Calibri" w:hAnsi="Calibri"/>
                <w:b w:val="0"/>
                <w:color w:val="333333"/>
                <w:sz w:val="18"/>
              </w:rPr>
              <w:t>NXR_HISTORIAN_RETENTION_1M</w:t>
            </w:r>
          </w:p>
        </w:tc>
        <w:tc>
          <w:tcPr>
            <w:tcW w:type="dxa" w:w="3572"/>
          </w:tcPr>
          <w:p>
            <w:r>
              <w:rPr>
                <w:rFonts w:ascii="Calibri" w:hAnsi="Calibri"/>
                <w:b w:val="0"/>
                <w:color w:val="333333"/>
                <w:sz w:val="18"/>
              </w:rPr>
              <w:t>Just over a year of minute resolution</w:t>
            </w:r>
          </w:p>
        </w:tc>
      </w:tr>
      <w:tr>
        <w:tc>
          <w:tcPr>
            <w:tcW w:type="dxa" w:w="1814"/>
            <w:shd w:fill="F2F6FA" w:val="clear"/>
          </w:tcPr>
          <w:p>
            <w:r>
              <w:rPr>
                <w:rFonts w:ascii="Calibri" w:hAnsi="Calibri"/>
                <w:b w:val="0"/>
                <w:color w:val="333333"/>
                <w:sz w:val="18"/>
              </w:rPr>
              <w:t>measurements_1h</w:t>
            </w:r>
          </w:p>
        </w:tc>
        <w:tc>
          <w:tcPr>
            <w:tcW w:type="dxa" w:w="1984"/>
            <w:shd w:fill="F2F6FA" w:val="clear"/>
          </w:tcPr>
          <w:p>
            <w:r>
              <w:rPr>
                <w:rFonts w:ascii="Calibri" w:hAnsi="Calibri"/>
                <w:b w:val="0"/>
                <w:color w:val="333333"/>
                <w:sz w:val="18"/>
              </w:rPr>
              <w:t>1,095 days</w:t>
            </w:r>
          </w:p>
        </w:tc>
        <w:tc>
          <w:tcPr>
            <w:tcW w:type="dxa" w:w="2268"/>
            <w:shd w:fill="F2F6FA" w:val="clear"/>
          </w:tcPr>
          <w:p>
            <w:r>
              <w:rPr>
                <w:rFonts w:ascii="Calibri" w:hAnsi="Calibri"/>
                <w:b w:val="0"/>
                <w:color w:val="333333"/>
                <w:sz w:val="18"/>
              </w:rPr>
              <w:t>NXR_HISTORIAN_RETENTION_1H</w:t>
            </w:r>
          </w:p>
        </w:tc>
        <w:tc>
          <w:tcPr>
            <w:tcW w:type="dxa" w:w="3572"/>
            <w:shd w:fill="F2F6FA" w:val="clear"/>
          </w:tcPr>
          <w:p>
            <w:r>
              <w:rPr>
                <w:rFonts w:ascii="Calibri" w:hAnsi="Calibri"/>
                <w:b w:val="0"/>
                <w:color w:val="333333"/>
                <w:sz w:val="18"/>
              </w:rPr>
              <w:t>Three years of hourly resolution</w:t>
            </w:r>
          </w:p>
        </w:tc>
      </w:tr>
      <w:tr>
        <w:tc>
          <w:tcPr>
            <w:tcW w:type="dxa" w:w="1814"/>
          </w:tcPr>
          <w:p>
            <w:r>
              <w:rPr>
                <w:rFonts w:ascii="Calibri" w:hAnsi="Calibri"/>
                <w:b w:val="0"/>
                <w:color w:val="333333"/>
                <w:sz w:val="18"/>
              </w:rPr>
              <w:t>measurements_1d</w:t>
            </w:r>
          </w:p>
        </w:tc>
        <w:tc>
          <w:tcPr>
            <w:tcW w:type="dxa" w:w="1984"/>
          </w:tcPr>
          <w:p>
            <w:r>
              <w:rPr>
                <w:rFonts w:ascii="Calibri" w:hAnsi="Calibri"/>
                <w:b w:val="0"/>
                <w:color w:val="333333"/>
                <w:sz w:val="18"/>
              </w:rPr>
              <w:t>Indefinite</w:t>
            </w:r>
          </w:p>
        </w:tc>
        <w:tc>
          <w:tcPr>
            <w:tcW w:type="dxa" w:w="2268"/>
          </w:tcPr>
          <w:p>
            <w:r>
              <w:rPr>
                <w:rFonts w:ascii="Calibri" w:hAnsi="Calibri"/>
                <w:b w:val="0"/>
                <w:color w:val="333333"/>
                <w:sz w:val="18"/>
              </w:rPr>
              <w:t>NXR_HISTORIAN_RETENTION_1D</w:t>
            </w:r>
          </w:p>
        </w:tc>
        <w:tc>
          <w:tcPr>
            <w:tcW w:type="dxa" w:w="3572"/>
          </w:tcPr>
          <w:p>
            <w:r>
              <w:rPr>
                <w:rFonts w:ascii="Calibri" w:hAnsi="Calibri"/>
                <w:b w:val="0"/>
                <w:color w:val="333333"/>
                <w:sz w:val="18"/>
              </w:rPr>
              <w:t>Cheap enough to keep forever, which is what makes year-over-year comparison possible</w:t>
            </w:r>
          </w:p>
        </w:tc>
      </w:tr>
      <w:tr>
        <w:tc>
          <w:tcPr>
            <w:tcW w:type="dxa" w:w="1814"/>
            <w:shd w:fill="F2F6FA" w:val="clear"/>
          </w:tcPr>
          <w:p>
            <w:r>
              <w:rPr>
                <w:rFonts w:ascii="Calibri" w:hAnsi="Calibri"/>
                <w:b w:val="0"/>
                <w:color w:val="333333"/>
                <w:sz w:val="18"/>
              </w:rPr>
              <w:t>Compression</w:t>
            </w:r>
          </w:p>
        </w:tc>
        <w:tc>
          <w:tcPr>
            <w:tcW w:type="dxa" w:w="1984"/>
            <w:shd w:fill="F2F6FA" w:val="clear"/>
          </w:tcPr>
          <w:p>
            <w:r>
              <w:rPr>
                <w:rFonts w:ascii="Calibri" w:hAnsi="Calibri"/>
                <w:b w:val="0"/>
                <w:color w:val="333333"/>
                <w:sz w:val="18"/>
              </w:rPr>
              <w:t>Chunks compressed after 7 days</w:t>
            </w:r>
          </w:p>
        </w:tc>
        <w:tc>
          <w:tcPr>
            <w:tcW w:type="dxa" w:w="2268"/>
            <w:shd w:fill="F2F6FA" w:val="clear"/>
          </w:tcPr>
          <w:p>
            <w:r>
              <w:rPr>
                <w:rFonts w:ascii="Calibri" w:hAnsi="Calibri"/>
                <w:b w:val="0"/>
                <w:color w:val="333333"/>
                <w:sz w:val="18"/>
              </w:rPr>
              <w:t>COMPRESS_AFTER</w:t>
            </w:r>
          </w:p>
        </w:tc>
        <w:tc>
          <w:tcPr>
            <w:tcW w:type="dxa" w:w="3572"/>
            <w:shd w:fill="F2F6FA" w:val="clear"/>
          </w:tcPr>
          <w:p>
            <w:r>
              <w:rPr>
                <w:rFonts w:ascii="Calibri" w:hAnsi="Calibri"/>
                <w:b w:val="0"/>
                <w:color w:val="333333"/>
                <w:sz w:val="18"/>
              </w:rPr>
              <w:t>Longer than the window still receiving writes, so late edge replay is not penalised</w:t>
            </w:r>
          </w:p>
        </w:tc>
      </w:tr>
      <w:tr>
        <w:tc>
          <w:tcPr>
            <w:tcW w:type="dxa" w:w="1814"/>
          </w:tcPr>
          <w:p>
            <w:r>
              <w:rPr>
                <w:rFonts w:ascii="Calibri" w:hAnsi="Calibri"/>
                <w:b w:val="0"/>
                <w:color w:val="333333"/>
                <w:sz w:val="18"/>
              </w:rPr>
              <w:t>events (change log)</w:t>
            </w:r>
          </w:p>
        </w:tc>
        <w:tc>
          <w:tcPr>
            <w:tcW w:type="dxa" w:w="1984"/>
          </w:tcPr>
          <w:p>
            <w:r>
              <w:rPr>
                <w:rFonts w:ascii="Calibri" w:hAnsi="Calibri"/>
                <w:b w:val="0"/>
                <w:color w:val="333333"/>
                <w:sz w:val="18"/>
              </w:rPr>
              <w:t>Retained indefinitely</w:t>
            </w:r>
          </w:p>
        </w:tc>
        <w:tc>
          <w:tcPr>
            <w:tcW w:type="dxa" w:w="2268"/>
          </w:tcPr>
          <w:p>
            <w:r>
              <w:rPr>
                <w:rFonts w:ascii="Calibri" w:hAnsi="Calibri"/>
                <w:b w:val="0"/>
                <w:color w:val="333333"/>
                <w:sz w:val="18"/>
              </w:rPr>
              <w:t>—</w:t>
            </w:r>
          </w:p>
        </w:tc>
        <w:tc>
          <w:tcPr>
            <w:tcW w:type="dxa" w:w="3572"/>
          </w:tcPr>
          <w:p>
            <w:r>
              <w:rPr>
                <w:rFonts w:ascii="Calibri" w:hAnsi="Calibri"/>
                <w:b w:val="0"/>
                <w:color w:val="333333"/>
                <w:sz w:val="18"/>
              </w:rPr>
              <w:t>An audit record; RDS point-in-time recovery is the point of choosing PostgreSQL here</w:t>
            </w:r>
          </w:p>
        </w:tc>
      </w:tr>
      <w:tr>
        <w:tc>
          <w:tcPr>
            <w:tcW w:type="dxa" w:w="1814"/>
            <w:shd w:fill="F2F6FA" w:val="clear"/>
          </w:tcPr>
          <w:p>
            <w:r>
              <w:rPr>
                <w:rFonts w:ascii="Calibri" w:hAnsi="Calibri"/>
                <w:b w:val="0"/>
                <w:color w:val="333333"/>
                <w:sz w:val="18"/>
              </w:rPr>
              <w:t>S3 3-D artifacts</w:t>
            </w:r>
          </w:p>
        </w:tc>
        <w:tc>
          <w:tcPr>
            <w:tcW w:type="dxa" w:w="1984"/>
            <w:shd w:fill="F2F6FA" w:val="clear"/>
          </w:tcPr>
          <w:p>
            <w:r>
              <w:rPr>
                <w:rFonts w:ascii="Calibri" w:hAnsi="Calibri"/>
                <w:b w:val="0"/>
                <w:color w:val="333333"/>
                <w:sz w:val="18"/>
              </w:rPr>
              <w:t>Lifecycle rule expiring artifacts after 30–90 days</w:t>
            </w:r>
          </w:p>
        </w:tc>
        <w:tc>
          <w:tcPr>
            <w:tcW w:type="dxa" w:w="2268"/>
            <w:shd w:fill="F2F6FA" w:val="clear"/>
          </w:tcPr>
          <w:p>
            <w:r>
              <w:rPr>
                <w:rFonts w:ascii="Calibri" w:hAnsi="Calibri"/>
                <w:b w:val="0"/>
                <w:color w:val="333333"/>
                <w:sz w:val="18"/>
              </w:rPr>
              <w:t>Bucket lifecycle policy</w:t>
            </w:r>
          </w:p>
        </w:tc>
        <w:tc>
          <w:tcPr>
            <w:tcW w:type="dxa" w:w="3572"/>
            <w:shd w:fill="F2F6FA" w:val="clear"/>
          </w:tcPr>
          <w:p>
            <w:r>
              <w:rPr>
                <w:rFonts w:ascii="Calibri" w:hAnsi="Calibri"/>
                <w:b w:val="0"/>
                <w:color w:val="333333"/>
                <w:sz w:val="18"/>
              </w:rPr>
              <w:t>Intermediate stage images are debugging aids, not product data</w:t>
            </w:r>
          </w:p>
        </w:tc>
      </w:tr>
      <w:tr>
        <w:tc>
          <w:tcPr>
            <w:tcW w:type="dxa" w:w="1814"/>
          </w:tcPr>
          <w:p>
            <w:r>
              <w:rPr>
                <w:rFonts w:ascii="Calibri" w:hAnsi="Calibri"/>
                <w:b w:val="0"/>
                <w:color w:val="333333"/>
                <w:sz w:val="18"/>
              </w:rPr>
              <w:t>threed_jobs</w:t>
            </w:r>
          </w:p>
        </w:tc>
        <w:tc>
          <w:tcPr>
            <w:tcW w:type="dxa" w:w="1984"/>
          </w:tcPr>
          <w:p>
            <w:r>
              <w:rPr>
                <w:rFonts w:ascii="Calibri" w:hAnsi="Calibri"/>
                <w:b w:val="0"/>
                <w:color w:val="333333"/>
                <w:sz w:val="18"/>
              </w:rPr>
              <w:t>Retained with the job record</w:t>
            </w:r>
          </w:p>
        </w:tc>
        <w:tc>
          <w:tcPr>
            <w:tcW w:type="dxa" w:w="2268"/>
          </w:tcPr>
          <w:p>
            <w:r>
              <w:rPr>
                <w:rFonts w:ascii="Calibri" w:hAnsi="Calibri"/>
                <w:b w:val="0"/>
                <w:color w:val="333333"/>
                <w:sz w:val="18"/>
              </w:rPr>
              <w:t>—</w:t>
            </w:r>
          </w:p>
        </w:tc>
        <w:tc>
          <w:tcPr>
            <w:tcW w:type="dxa" w:w="3572"/>
          </w:tcPr>
          <w:p>
            <w:r>
              <w:rPr>
                <w:rFonts w:ascii="Calibri" w:hAnsi="Calibri"/>
                <w:b w:val="0"/>
                <w:color w:val="333333"/>
                <w:sz w:val="18"/>
              </w:rPr>
              <w:t>Small metadata; keeps a completed job addressable after its artifacts expire</w:t>
            </w:r>
          </w:p>
        </w:tc>
      </w:tr>
    </w:tbl>
    <w:p/>
    <w:p>
      <w:pPr>
        <w:pStyle w:val="Heading2"/>
      </w:pPr>
      <w:r>
        <w:rPr>
          <w:rFonts w:ascii="Calibri" w:hAnsi="Calibri"/>
          <w:color w:val="1B2A4A"/>
        </w:rPr>
        <w:t>5.2 Integrity and Idempotency</w:t>
      </w:r>
    </w:p>
    <w:tbl>
      <w:tblPr>
        <w:tblW w:type="auto" w:w="0"/>
        <w:jc w:val="center"/>
        <w:tblLook w:firstColumn="1" w:firstRow="1" w:lastColumn="0" w:lastRow="0" w:noHBand="0" w:noVBand="1" w:val="04A0"/>
      </w:tblPr>
      <w:tblGrid>
        <w:gridCol w:w="2880"/>
        <w:gridCol w:w="2880"/>
        <w:gridCol w:w="2880"/>
      </w:tblGrid>
      <w:tr>
        <w:tc>
          <w:tcPr>
            <w:tcW w:type="dxa" w:w="1984"/>
            <w:shd w:fill="1B2A4A" w:val="clear"/>
          </w:tcPr>
          <w:p>
            <w:r>
              <w:rPr>
                <w:rFonts w:ascii="Calibri" w:hAnsi="Calibri"/>
                <w:b/>
                <w:color w:val="FFFFFF"/>
                <w:sz w:val="20"/>
              </w:rPr>
              <w:t>Mechanism</w:t>
            </w:r>
          </w:p>
        </w:tc>
        <w:tc>
          <w:tcPr>
            <w:tcW w:type="dxa" w:w="2835"/>
            <w:shd w:fill="1B2A4A" w:val="clear"/>
          </w:tcPr>
          <w:p>
            <w:r>
              <w:rPr>
                <w:rFonts w:ascii="Calibri" w:hAnsi="Calibri"/>
                <w:b/>
                <w:color w:val="FFFFFF"/>
                <w:sz w:val="20"/>
              </w:rPr>
              <w:t>Where</w:t>
            </w:r>
          </w:p>
        </w:tc>
        <w:tc>
          <w:tcPr>
            <w:tcW w:type="dxa" w:w="4819"/>
            <w:shd w:fill="1B2A4A" w:val="clear"/>
          </w:tcPr>
          <w:p>
            <w:r>
              <w:rPr>
                <w:rFonts w:ascii="Calibri" w:hAnsi="Calibri"/>
                <w:b/>
                <w:color w:val="FFFFFF"/>
                <w:sz w:val="20"/>
              </w:rPr>
              <w:t>Guarantee</w:t>
            </w:r>
          </w:p>
        </w:tc>
      </w:tr>
      <w:tr>
        <w:tc>
          <w:tcPr>
            <w:tcW w:type="dxa" w:w="1984"/>
            <w:shd w:fill="F2F6FA" w:val="clear"/>
          </w:tcPr>
          <w:p>
            <w:r>
              <w:rPr>
                <w:rFonts w:ascii="Calibri" w:hAnsi="Calibri"/>
                <w:b w:val="0"/>
                <w:color w:val="333333"/>
                <w:sz w:val="18"/>
              </w:rPr>
              <w:t>Hash chain</w:t>
            </w:r>
          </w:p>
        </w:tc>
        <w:tc>
          <w:tcPr>
            <w:tcW w:type="dxa" w:w="2835"/>
            <w:shd w:fill="F2F6FA" w:val="clear"/>
          </w:tcPr>
          <w:p>
            <w:r>
              <w:rPr>
                <w:rFonts w:ascii="Calibri" w:hAnsi="Calibri"/>
                <w:b w:val="0"/>
                <w:color w:val="333333"/>
                <w:sz w:val="18"/>
              </w:rPr>
              <w:t>events.prev_event_hash → events.wm_hash</w:t>
            </w:r>
          </w:p>
        </w:tc>
        <w:tc>
          <w:tcPr>
            <w:tcW w:type="dxa" w:w="4819"/>
            <w:shd w:fill="F2F6FA" w:val="clear"/>
          </w:tcPr>
          <w:p>
            <w:r>
              <w:rPr>
                <w:rFonts w:ascii="Calibri" w:hAnsi="Calibri"/>
                <w:b w:val="0"/>
                <w:color w:val="333333"/>
                <w:sz w:val="18"/>
              </w:rPr>
              <w:t>Tamper evidence: altering any stored field of an old event breaks every hash after it</w:t>
            </w:r>
          </w:p>
        </w:tc>
      </w:tr>
      <w:tr>
        <w:tc>
          <w:tcPr>
            <w:tcW w:type="dxa" w:w="1984"/>
          </w:tcPr>
          <w:p>
            <w:r>
              <w:rPr>
                <w:rFonts w:ascii="Calibri" w:hAnsi="Calibri"/>
                <w:b w:val="0"/>
                <w:color w:val="333333"/>
                <w:sz w:val="18"/>
              </w:rPr>
              <w:t>Advisory lock</w:t>
            </w:r>
          </w:p>
        </w:tc>
        <w:tc>
          <w:tcPr>
            <w:tcW w:type="dxa" w:w="2835"/>
          </w:tcPr>
          <w:p>
            <w:r>
              <w:rPr>
                <w:rFonts w:ascii="Calibri" w:hAnsi="Calibri"/>
                <w:b w:val="0"/>
                <w:color w:val="333333"/>
                <w:sz w:val="18"/>
              </w:rPr>
              <w:t>ChangeLog.append(), per tenant</w:t>
            </w:r>
          </w:p>
        </w:tc>
        <w:tc>
          <w:tcPr>
            <w:tcW w:type="dxa" w:w="4819"/>
          </w:tcPr>
          <w:p>
            <w:r>
              <w:rPr>
                <w:rFonts w:ascii="Calibri" w:hAnsi="Calibri"/>
                <w:b w:val="0"/>
                <w:color w:val="333333"/>
                <w:sz w:val="18"/>
              </w:rPr>
              <w:t>A tenant's chain cannot fork under concurrent writers; tenants never block each other</w:t>
            </w:r>
          </w:p>
        </w:tc>
      </w:tr>
      <w:tr>
        <w:tc>
          <w:tcPr>
            <w:tcW w:type="dxa" w:w="1984"/>
            <w:shd w:fill="F2F6FA" w:val="clear"/>
          </w:tcPr>
          <w:p>
            <w:r>
              <w:rPr>
                <w:rFonts w:ascii="Calibri" w:hAnsi="Calibri"/>
                <w:b w:val="0"/>
                <w:color w:val="333333"/>
                <w:sz w:val="18"/>
              </w:rPr>
              <w:t>Composite primary key</w:t>
            </w:r>
          </w:p>
        </w:tc>
        <w:tc>
          <w:tcPr>
            <w:tcW w:type="dxa" w:w="2835"/>
            <w:shd w:fill="F2F6FA" w:val="clear"/>
          </w:tcPr>
          <w:p>
            <w:r>
              <w:rPr>
                <w:rFonts w:ascii="Calibri" w:hAnsi="Calibri"/>
                <w:b w:val="0"/>
                <w:color w:val="333333"/>
                <w:sz w:val="18"/>
              </w:rPr>
              <w:t>measurements (tenant_id, asset_id, signal, ts)</w:t>
            </w:r>
          </w:p>
        </w:tc>
        <w:tc>
          <w:tcPr>
            <w:tcW w:type="dxa" w:w="4819"/>
            <w:shd w:fill="F2F6FA" w:val="clear"/>
          </w:tcPr>
          <w:p>
            <w:r>
              <w:rPr>
                <w:rFonts w:ascii="Calibri" w:hAnsi="Calibri"/>
                <w:b w:val="0"/>
                <w:color w:val="333333"/>
                <w:sz w:val="18"/>
              </w:rPr>
              <w:t>A replayed batch collides and is skipped, so edge store-and-forward cannot double-count</w:t>
            </w:r>
          </w:p>
        </w:tc>
      </w:tr>
      <w:tr>
        <w:tc>
          <w:tcPr>
            <w:tcW w:type="dxa" w:w="1984"/>
          </w:tcPr>
          <w:p>
            <w:r>
              <w:rPr>
                <w:rFonts w:ascii="Calibri" w:hAnsi="Calibri"/>
                <w:b w:val="0"/>
                <w:color w:val="333333"/>
                <w:sz w:val="18"/>
              </w:rPr>
              <w:t>Uniqueness constraint</w:t>
            </w:r>
          </w:p>
        </w:tc>
        <w:tc>
          <w:tcPr>
            <w:tcW w:type="dxa" w:w="2835"/>
          </w:tcPr>
          <w:p>
            <w:r>
              <w:rPr>
                <w:rFonts w:ascii="Calibri" w:hAnsi="Calibri"/>
                <w:b w:val="0"/>
                <w:color w:val="333333"/>
                <w:sz w:val="18"/>
              </w:rPr>
              <w:t>Neo4j (tenantId, id) per category label</w:t>
            </w:r>
          </w:p>
        </w:tc>
        <w:tc>
          <w:tcPr>
            <w:tcW w:type="dxa" w:w="4819"/>
          </w:tcPr>
          <w:p>
            <w:r>
              <w:rPr>
                <w:rFonts w:ascii="Calibri" w:hAnsi="Calibri"/>
                <w:b w:val="0"/>
                <w:color w:val="333333"/>
                <w:sz w:val="18"/>
              </w:rPr>
              <w:t>No duplicate entity within a tenant; cross-tenant collision is impossible by construction</w:t>
            </w:r>
          </w:p>
        </w:tc>
      </w:tr>
      <w:tr>
        <w:tc>
          <w:tcPr>
            <w:tcW w:type="dxa" w:w="1984"/>
            <w:shd w:fill="F2F6FA" w:val="clear"/>
          </w:tcPr>
          <w:p>
            <w:r>
              <w:rPr>
                <w:rFonts w:ascii="Calibri" w:hAnsi="Calibri"/>
                <w:b w:val="0"/>
                <w:color w:val="333333"/>
                <w:sz w:val="18"/>
              </w:rPr>
              <w:t>Unique token index</w:t>
            </w:r>
          </w:p>
        </w:tc>
        <w:tc>
          <w:tcPr>
            <w:tcW w:type="dxa" w:w="2835"/>
            <w:shd w:fill="F2F6FA" w:val="clear"/>
          </w:tcPr>
          <w:p>
            <w:r>
              <w:rPr>
                <w:rFonts w:ascii="Calibri" w:hAnsi="Calibri"/>
                <w:b w:val="0"/>
                <w:color w:val="333333"/>
                <w:sz w:val="18"/>
              </w:rPr>
              <w:t>ingest_devices.token_hash</w:t>
            </w:r>
          </w:p>
        </w:tc>
        <w:tc>
          <w:tcPr>
            <w:tcW w:type="dxa" w:w="4819"/>
            <w:shd w:fill="F2F6FA" w:val="clear"/>
          </w:tcPr>
          <w:p>
            <w:r>
              <w:rPr>
                <w:rFonts w:ascii="Calibri" w:hAnsi="Calibri"/>
                <w:b w:val="0"/>
                <w:color w:val="333333"/>
                <w:sz w:val="18"/>
              </w:rPr>
              <w:t>Authentication by hash is an index lookup, not a full table scan</w:t>
            </w:r>
          </w:p>
        </w:tc>
      </w:tr>
      <w:tr>
        <w:tc>
          <w:tcPr>
            <w:tcW w:type="dxa" w:w="1984"/>
          </w:tcPr>
          <w:p>
            <w:r>
              <w:rPr>
                <w:rFonts w:ascii="Calibri" w:hAnsi="Calibri"/>
                <w:b w:val="0"/>
                <w:color w:val="333333"/>
                <w:sz w:val="18"/>
              </w:rPr>
              <w:t>Ownership lease</w:t>
            </w:r>
          </w:p>
        </w:tc>
        <w:tc>
          <w:tcPr>
            <w:tcW w:type="dxa" w:w="2835"/>
          </w:tcPr>
          <w:p>
            <w:r>
              <w:rPr>
                <w:rFonts w:ascii="Calibri" w:hAnsi="Calibri"/>
                <w:b w:val="0"/>
                <w:color w:val="333333"/>
                <w:sz w:val="18"/>
              </w:rPr>
              <w:t>Redis, per tenant (twins) and per connector</w:t>
            </w:r>
          </w:p>
        </w:tc>
        <w:tc>
          <w:tcPr>
            <w:tcW w:type="dxa" w:w="4819"/>
          </w:tcPr>
          <w:p>
            <w:r>
              <w:rPr>
                <w:rFonts w:ascii="Calibri" w:hAnsi="Calibri"/>
                <w:b w:val="0"/>
                <w:color w:val="333333"/>
                <w:sz w:val="18"/>
              </w:rPr>
              <w:t>Exactly one writer of live findings and exactly one poller of a device</w:t>
            </w:r>
          </w:p>
        </w:tc>
      </w:tr>
      <w:tr>
        <w:tc>
          <w:tcPr>
            <w:tcW w:type="dxa" w:w="1984"/>
            <w:shd w:fill="F2F6FA" w:val="clear"/>
          </w:tcPr>
          <w:p>
            <w:r>
              <w:rPr>
                <w:rFonts w:ascii="Calibri" w:hAnsi="Calibri"/>
                <w:b w:val="0"/>
                <w:color w:val="333333"/>
                <w:sz w:val="18"/>
              </w:rPr>
              <w:t>SHACL validation</w:t>
            </w:r>
          </w:p>
        </w:tc>
        <w:tc>
          <w:tcPr>
            <w:tcW w:type="dxa" w:w="2835"/>
            <w:shd w:fill="F2F6FA" w:val="clear"/>
          </w:tcPr>
          <w:p>
            <w:r>
              <w:rPr>
                <w:rFonts w:ascii="Calibri" w:hAnsi="Calibri"/>
                <w:b w:val="0"/>
                <w:color w:val="333333"/>
                <w:sz w:val="18"/>
              </w:rPr>
              <w:t>GraphWriter, before every commit</w:t>
            </w:r>
          </w:p>
        </w:tc>
        <w:tc>
          <w:tcPr>
            <w:tcW w:type="dxa" w:w="4819"/>
            <w:shd w:fill="F2F6FA" w:val="clear"/>
          </w:tcPr>
          <w:p>
            <w:r>
              <w:rPr>
                <w:rFonts w:ascii="Calibri" w:hAnsi="Calibri"/>
                <w:b w:val="0"/>
                <w:color w:val="333333"/>
                <w:sz w:val="18"/>
              </w:rPr>
              <w:t>A shape violation returns 422 and nothing is written</w:t>
            </w:r>
          </w:p>
        </w:tc>
      </w:tr>
      <w:tr>
        <w:tc>
          <w:tcPr>
            <w:tcW w:type="dxa" w:w="1984"/>
          </w:tcPr>
          <w:p>
            <w:r>
              <w:rPr>
                <w:rFonts w:ascii="Calibri" w:hAnsi="Calibri"/>
                <w:b w:val="0"/>
                <w:color w:val="333333"/>
                <w:sz w:val="18"/>
              </w:rPr>
              <w:t>Taxonomy closure</w:t>
            </w:r>
          </w:p>
        </w:tc>
        <w:tc>
          <w:tcPr>
            <w:tcW w:type="dxa" w:w="2835"/>
          </w:tcPr>
          <w:p>
            <w:r>
              <w:rPr>
                <w:rFonts w:ascii="Calibri" w:hAnsi="Calibri"/>
                <w:b w:val="0"/>
                <w:color w:val="333333"/>
                <w:sz w:val="18"/>
              </w:rPr>
              <w:t>nxr:TaxonomyClosureShape over the T-Box</w:t>
            </w:r>
          </w:p>
        </w:tc>
        <w:tc>
          <w:tcPr>
            <w:tcW w:type="dxa" w:w="4819"/>
          </w:tcPr>
          <w:p>
            <w:r>
              <w:rPr>
                <w:rFonts w:ascii="Calibri" w:hAnsi="Calibri"/>
                <w:b w:val="0"/>
                <w:color w:val="333333"/>
                <w:sz w:val="18"/>
              </w:rPr>
              <w:t>A pack cannot introduce an eleventh top-level category</w:t>
            </w:r>
          </w:p>
        </w:tc>
      </w:tr>
    </w:tbl>
    <w:p/>
    <w:p>
      <w:pPr>
        <w:pStyle w:val="Heading2"/>
      </w:pPr>
      <w:r>
        <w:rPr>
          <w:rFonts w:ascii="Calibri" w:hAnsi="Calibri"/>
          <w:color w:val="1B2A4A"/>
        </w:rPr>
        <w:t>5.3 Deletion Semantics</w:t>
      </w:r>
    </w:p>
    <w:p>
      <w:pPr>
        <w:spacing w:after="120"/>
      </w:pPr>
      <w:r>
        <w:rPr>
          <w:rFonts w:ascii="Calibri" w:hAnsi="Calibri"/>
          <w:b w:val="0"/>
          <w:color w:val="333333"/>
          <w:sz w:val="22"/>
        </w:rPr>
        <w:t>There are deliberately no cross-tenant foreign keys, so deletion is scoped rather than cascaded through referential actions:</w:t>
      </w:r>
    </w:p>
    <w:tbl>
      <w:tblPr>
        <w:tblW w:type="auto" w:w="0"/>
        <w:jc w:val="center"/>
        <w:tblLook w:firstColumn="1" w:firstRow="1" w:lastColumn="0" w:lastRow="0" w:noHBand="0" w:noVBand="1" w:val="04A0"/>
      </w:tblPr>
      <w:tblGrid>
        <w:gridCol w:w="4320"/>
        <w:gridCol w:w="4320"/>
      </w:tblGrid>
      <w:tr>
        <w:tc>
          <w:tcPr>
            <w:tcW w:type="dxa" w:w="3118"/>
            <w:shd w:fill="1B2A4A" w:val="clear"/>
          </w:tcPr>
          <w:p>
            <w:r>
              <w:rPr>
                <w:rFonts w:ascii="Calibri" w:hAnsi="Calibri"/>
                <w:b/>
                <w:color w:val="FFFFFF"/>
                <w:sz w:val="20"/>
              </w:rPr>
              <w:t>Action</w:t>
            </w:r>
          </w:p>
        </w:tc>
        <w:tc>
          <w:tcPr>
            <w:tcW w:type="dxa" w:w="6520"/>
            <w:shd w:fill="1B2A4A" w:val="clear"/>
          </w:tcPr>
          <w:p>
            <w:r>
              <w:rPr>
                <w:rFonts w:ascii="Calibri" w:hAnsi="Calibri"/>
                <w:b/>
                <w:color w:val="FFFFFF"/>
                <w:sz w:val="20"/>
              </w:rPr>
              <w:t>Effect</w:t>
            </w:r>
          </w:p>
        </w:tc>
      </w:tr>
      <w:tr>
        <w:tc>
          <w:tcPr>
            <w:tcW w:type="dxa" w:w="3118"/>
            <w:shd w:fill="F2F6FA" w:val="clear"/>
          </w:tcPr>
          <w:p>
            <w:r>
              <w:rPr>
                <w:rFonts w:ascii="Calibri" w:hAnsi="Calibri"/>
                <w:b w:val="0"/>
                <w:color w:val="333333"/>
                <w:sz w:val="18"/>
              </w:rPr>
              <w:t>DELETE /api/v1/twins/{tenant}</w:t>
            </w:r>
          </w:p>
        </w:tc>
        <w:tc>
          <w:tcPr>
            <w:tcW w:type="dxa" w:w="6520"/>
            <w:shd w:fill="F2F6FA" w:val="clear"/>
          </w:tcPr>
          <w:p>
            <w:r>
              <w:rPr>
                <w:rFonts w:ascii="Calibri" w:hAnsi="Calibri"/>
                <w:b w:val="0"/>
                <w:color w:val="333333"/>
                <w:sz w:val="18"/>
              </w:rPr>
              <w:t>Removes the registry row, the tenant's Neo4j entities and the tenant's scene_cache row. The change log is retained as an audit record of what existed.</w:t>
            </w:r>
          </w:p>
        </w:tc>
      </w:tr>
      <w:tr>
        <w:tc>
          <w:tcPr>
            <w:tcW w:type="dxa" w:w="3118"/>
          </w:tcPr>
          <w:p>
            <w:r>
              <w:rPr>
                <w:rFonts w:ascii="Calibri" w:hAnsi="Calibri"/>
                <w:b w:val="0"/>
                <w:color w:val="333333"/>
                <w:sz w:val="18"/>
              </w:rPr>
              <w:t>DELETE /api/v1/entities/{node_id}</w:t>
            </w:r>
          </w:p>
        </w:tc>
        <w:tc>
          <w:tcPr>
            <w:tcW w:type="dxa" w:w="6520"/>
          </w:tcPr>
          <w:p>
            <w:r>
              <w:rPr>
                <w:rFonts w:ascii="Calibri" w:hAnsi="Calibri"/>
                <w:b w:val="0"/>
                <w:color w:val="333333"/>
                <w:sz w:val="18"/>
              </w:rPr>
              <w:t>Removes the node and its relationships, and appends a delete event to the chain. History is never rewritten.</w:t>
            </w:r>
          </w:p>
        </w:tc>
      </w:tr>
      <w:tr>
        <w:tc>
          <w:tcPr>
            <w:tcW w:type="dxa" w:w="3118"/>
            <w:shd w:fill="F2F6FA" w:val="clear"/>
          </w:tcPr>
          <w:p>
            <w:r>
              <w:rPr>
                <w:rFonts w:ascii="Calibri" w:hAnsi="Calibri"/>
                <w:b w:val="0"/>
                <w:color w:val="333333"/>
                <w:sz w:val="18"/>
              </w:rPr>
              <w:t>DELETE /api/v1/ingest/devices/{id}</w:t>
            </w:r>
          </w:p>
        </w:tc>
        <w:tc>
          <w:tcPr>
            <w:tcW w:type="dxa" w:w="6520"/>
            <w:shd w:fill="F2F6FA" w:val="clear"/>
          </w:tcPr>
          <w:p>
            <w:r>
              <w:rPr>
                <w:rFonts w:ascii="Calibri" w:hAnsi="Calibri"/>
                <w:b w:val="0"/>
                <w:color w:val="333333"/>
                <w:sz w:val="18"/>
              </w:rPr>
              <w:t>Revokes the credential immediately. Measurements already written are retained under the historian's retention policy.</w:t>
            </w:r>
          </w:p>
        </w:tc>
      </w:tr>
      <w:tr>
        <w:tc>
          <w:tcPr>
            <w:tcW w:type="dxa" w:w="3118"/>
          </w:tcPr>
          <w:p>
            <w:r>
              <w:rPr>
                <w:rFonts w:ascii="Calibri" w:hAnsi="Calibri"/>
                <w:b w:val="0"/>
                <w:color w:val="333333"/>
                <w:sz w:val="18"/>
              </w:rPr>
              <w:t>DELETE /api/v1/connectors/{id}</w:t>
            </w:r>
          </w:p>
        </w:tc>
        <w:tc>
          <w:tcPr>
            <w:tcW w:type="dxa" w:w="6520"/>
          </w:tcPr>
          <w:p>
            <w:r>
              <w:rPr>
                <w:rFonts w:ascii="Calibri" w:hAnsi="Calibri"/>
                <w:b w:val="0"/>
                <w:color w:val="333333"/>
                <w:sz w:val="18"/>
              </w:rPr>
              <w:t>Stops the worker and removes the configuration, including the stored credentials.</w:t>
            </w:r>
          </w:p>
        </w:tc>
      </w:tr>
      <w:tr>
        <w:tc>
          <w:tcPr>
            <w:tcW w:type="dxa" w:w="3118"/>
            <w:shd w:fill="F2F6FA" w:val="clear"/>
          </w:tcPr>
          <w:p>
            <w:r>
              <w:rPr>
                <w:rFonts w:ascii="Calibri" w:hAnsi="Calibri"/>
                <w:b w:val="0"/>
                <w:color w:val="333333"/>
                <w:sz w:val="18"/>
              </w:rPr>
              <w:t>Historian retention</w:t>
            </w:r>
          </w:p>
        </w:tc>
        <w:tc>
          <w:tcPr>
            <w:tcW w:type="dxa" w:w="6520"/>
            <w:shd w:fill="F2F6FA" w:val="clear"/>
          </w:tcPr>
          <w:p>
            <w:r>
              <w:rPr>
                <w:rFonts w:ascii="Calibri" w:hAnsi="Calibri"/>
                <w:b w:val="0"/>
                <w:color w:val="333333"/>
                <w:sz w:val="18"/>
              </w:rPr>
              <w:t>Raw and rollup rows are dropped by policy per tier; the drop is a chunk-level operation, not a row-by-row delete.</w:t>
            </w:r>
          </w:p>
        </w:tc>
      </w:tr>
      <w:tr>
        <w:tc>
          <w:tcPr>
            <w:tcW w:type="dxa" w:w="3118"/>
          </w:tcPr>
          <w:p>
            <w:r>
              <w:rPr>
                <w:rFonts w:ascii="Calibri" w:hAnsi="Calibri"/>
                <w:b w:val="0"/>
                <w:color w:val="333333"/>
                <w:sz w:val="18"/>
              </w:rPr>
              <w:t>S3 lifecycle</w:t>
            </w:r>
          </w:p>
        </w:tc>
        <w:tc>
          <w:tcPr>
            <w:tcW w:type="dxa" w:w="6520"/>
          </w:tcPr>
          <w:p>
            <w:r>
              <w:rPr>
                <w:rFonts w:ascii="Calibri" w:hAnsi="Calibri"/>
                <w:b w:val="0"/>
                <w:color w:val="333333"/>
                <w:sz w:val="18"/>
              </w:rPr>
              <w:t>3-D artifacts expire on the bucket lifecycle rule; the job record remains.</w:t>
            </w:r>
          </w:p>
        </w:tc>
      </w:tr>
    </w:tbl>
    <w:p/>
    <w:p>
      <w:pPr>
        <w:pStyle w:val="Heading2"/>
      </w:pPr>
      <w:r>
        <w:rPr>
          <w:rFonts w:ascii="Calibri" w:hAnsi="Calibri"/>
          <w:color w:val="1B2A4A"/>
        </w:rPr>
        <w:t>5.4 Sensitive Data and PII</w:t>
      </w:r>
    </w:p>
    <w:p>
      <w:pPr>
        <w:spacing w:after="120"/>
      </w:pPr>
      <w:r>
        <w:rPr>
          <w:rFonts w:ascii="Calibri" w:hAnsi="Calibri"/>
          <w:b w:val="0"/>
          <w:color w:val="333333"/>
          <w:sz w:val="22"/>
        </w:rPr>
        <w:t>Columns requiring special handling. The platform's primary data is industrial telemetry rather than personal data, so the sensitive set is small and mostly consists of credentials.</w:t>
      </w:r>
    </w:p>
    <w:tbl>
      <w:tblPr>
        <w:tblW w:type="auto" w:w="0"/>
        <w:jc w:val="center"/>
        <w:tblLook w:firstColumn="1" w:firstRow="1" w:lastColumn="0" w:lastRow="0" w:noHBand="0" w:noVBand="1" w:val="04A0"/>
      </w:tblPr>
      <w:tblGrid>
        <w:gridCol w:w="2880"/>
        <w:gridCol w:w="2880"/>
        <w:gridCol w:w="2880"/>
      </w:tblGrid>
      <w:tr>
        <w:tc>
          <w:tcPr>
            <w:tcW w:type="dxa" w:w="2551"/>
            <w:shd w:fill="1B2A4A" w:val="clear"/>
          </w:tcPr>
          <w:p>
            <w:r>
              <w:rPr>
                <w:rFonts w:ascii="Calibri" w:hAnsi="Calibri"/>
                <w:b/>
                <w:color w:val="FFFFFF"/>
                <w:sz w:val="20"/>
              </w:rPr>
              <w:t>Column / item</w:t>
            </w:r>
          </w:p>
        </w:tc>
        <w:tc>
          <w:tcPr>
            <w:tcW w:type="dxa" w:w="1984"/>
            <w:shd w:fill="1B2A4A" w:val="clear"/>
          </w:tcPr>
          <w:p>
            <w:r>
              <w:rPr>
                <w:rFonts w:ascii="Calibri" w:hAnsi="Calibri"/>
                <w:b/>
                <w:color w:val="FFFFFF"/>
                <w:sz w:val="20"/>
              </w:rPr>
              <w:t>Classification</w:t>
            </w:r>
          </w:p>
        </w:tc>
        <w:tc>
          <w:tcPr>
            <w:tcW w:type="dxa" w:w="5102"/>
            <w:shd w:fill="1B2A4A" w:val="clear"/>
          </w:tcPr>
          <w:p>
            <w:r>
              <w:rPr>
                <w:rFonts w:ascii="Calibri" w:hAnsi="Calibri"/>
                <w:b/>
                <w:color w:val="FFFFFF"/>
                <w:sz w:val="20"/>
              </w:rPr>
              <w:t>Handling</w:t>
            </w:r>
          </w:p>
        </w:tc>
      </w:tr>
      <w:tr>
        <w:tc>
          <w:tcPr>
            <w:tcW w:type="dxa" w:w="2551"/>
            <w:shd w:fill="F2F6FA" w:val="clear"/>
          </w:tcPr>
          <w:p>
            <w:r>
              <w:rPr>
                <w:rFonts w:ascii="Calibri" w:hAnsi="Calibri"/>
                <w:b w:val="0"/>
                <w:color w:val="333333"/>
                <w:sz w:val="18"/>
              </w:rPr>
              <w:t>ingest_devices.token_hash</w:t>
            </w:r>
          </w:p>
        </w:tc>
        <w:tc>
          <w:tcPr>
            <w:tcW w:type="dxa" w:w="1984"/>
            <w:shd w:fill="F2F6FA" w:val="clear"/>
          </w:tcPr>
          <w:p>
            <w:r>
              <w:rPr>
                <w:rFonts w:ascii="Calibri" w:hAnsi="Calibri"/>
                <w:b w:val="0"/>
                <w:color w:val="333333"/>
                <w:sz w:val="18"/>
              </w:rPr>
              <w:t>Credential hash</w:t>
            </w:r>
          </w:p>
        </w:tc>
        <w:tc>
          <w:tcPr>
            <w:tcW w:type="dxa" w:w="5102"/>
            <w:shd w:fill="F2F6FA" w:val="clear"/>
          </w:tcPr>
          <w:p>
            <w:r>
              <w:rPr>
                <w:rFonts w:ascii="Calibri" w:hAnsi="Calibri"/>
                <w:b w:val="0"/>
                <w:color w:val="333333"/>
                <w:sz w:val="18"/>
              </w:rPr>
              <w:t>Only the hash is stored; the plaintext is returned once at creation and is never recoverable</w:t>
            </w:r>
          </w:p>
        </w:tc>
      </w:tr>
      <w:tr>
        <w:tc>
          <w:tcPr>
            <w:tcW w:type="dxa" w:w="2551"/>
          </w:tcPr>
          <w:p>
            <w:r>
              <w:rPr>
                <w:rFonts w:ascii="Calibri" w:hAnsi="Calibri"/>
                <w:b w:val="0"/>
                <w:color w:val="333333"/>
                <w:sz w:val="18"/>
              </w:rPr>
              <w:t>ingest_devices.last_seen_ip</w:t>
            </w:r>
          </w:p>
        </w:tc>
        <w:tc>
          <w:tcPr>
            <w:tcW w:type="dxa" w:w="1984"/>
          </w:tcPr>
          <w:p>
            <w:r>
              <w:rPr>
                <w:rFonts w:ascii="Calibri" w:hAnsi="Calibri"/>
                <w:b w:val="0"/>
                <w:color w:val="333333"/>
                <w:sz w:val="18"/>
              </w:rPr>
              <w:t>Operational PII</w:t>
            </w:r>
          </w:p>
        </w:tc>
        <w:tc>
          <w:tcPr>
            <w:tcW w:type="dxa" w:w="5102"/>
          </w:tcPr>
          <w:p>
            <w:r>
              <w:rPr>
                <w:rFonts w:ascii="Calibri" w:hAnsi="Calibri"/>
                <w:b w:val="0"/>
                <w:color w:val="333333"/>
                <w:sz w:val="18"/>
              </w:rPr>
              <w:t>Source address of the last accepted sample; useful for revocation decisions, retained with the device</w:t>
            </w:r>
          </w:p>
        </w:tc>
      </w:tr>
      <w:tr>
        <w:tc>
          <w:tcPr>
            <w:tcW w:type="dxa" w:w="2551"/>
            <w:shd w:fill="F2F6FA" w:val="clear"/>
          </w:tcPr>
          <w:p>
            <w:r>
              <w:rPr>
                <w:rFonts w:ascii="Calibri" w:hAnsi="Calibri"/>
                <w:b w:val="0"/>
                <w:color w:val="333333"/>
                <w:sz w:val="18"/>
              </w:rPr>
              <w:t>ingest_devices.created_by</w:t>
            </w:r>
          </w:p>
        </w:tc>
        <w:tc>
          <w:tcPr>
            <w:tcW w:type="dxa" w:w="1984"/>
            <w:shd w:fill="F2F6FA" w:val="clear"/>
          </w:tcPr>
          <w:p>
            <w:r>
              <w:rPr>
                <w:rFonts w:ascii="Calibri" w:hAnsi="Calibri"/>
                <w:b w:val="0"/>
                <w:color w:val="333333"/>
                <w:sz w:val="18"/>
              </w:rPr>
              <w:t>Operator identity</w:t>
            </w:r>
          </w:p>
        </w:tc>
        <w:tc>
          <w:tcPr>
            <w:tcW w:type="dxa" w:w="5102"/>
            <w:shd w:fill="F2F6FA" w:val="clear"/>
          </w:tcPr>
          <w:p>
            <w:r>
              <w:rPr>
                <w:rFonts w:ascii="Calibri" w:hAnsi="Calibri"/>
                <w:b w:val="0"/>
                <w:color w:val="333333"/>
                <w:sz w:val="18"/>
              </w:rPr>
              <w:t>Which key or user registered the device</w:t>
            </w:r>
          </w:p>
        </w:tc>
      </w:tr>
      <w:tr>
        <w:tc>
          <w:tcPr>
            <w:tcW w:type="dxa" w:w="2551"/>
          </w:tcPr>
          <w:p>
            <w:r>
              <w:rPr>
                <w:rFonts w:ascii="Calibri" w:hAnsi="Calibri"/>
                <w:b w:val="0"/>
                <w:color w:val="333333"/>
                <w:sz w:val="18"/>
              </w:rPr>
              <w:t>connectors.config</w:t>
            </w:r>
          </w:p>
        </w:tc>
        <w:tc>
          <w:tcPr>
            <w:tcW w:type="dxa" w:w="1984"/>
          </w:tcPr>
          <w:p>
            <w:r>
              <w:rPr>
                <w:rFonts w:ascii="Calibri" w:hAnsi="Calibri"/>
                <w:b w:val="0"/>
                <w:color w:val="333333"/>
                <w:sz w:val="18"/>
              </w:rPr>
              <w:t>Customer credentials</w:t>
            </w:r>
          </w:p>
        </w:tc>
        <w:tc>
          <w:tcPr>
            <w:tcW w:type="dxa" w:w="5102"/>
          </w:tcPr>
          <w:p>
            <w:r>
              <w:rPr>
                <w:rFonts w:ascii="Calibri" w:hAnsi="Calibri"/>
                <w:b w:val="0"/>
                <w:color w:val="333333"/>
                <w:sz w:val="18"/>
              </w:rPr>
              <w:t>Contains PLC / OPC-UA / MQTT passwords and certificates. Allow-listed by ConnectorConfig.redacted() on every API response, so a field added later cannot leak by omission</w:t>
            </w:r>
          </w:p>
        </w:tc>
      </w:tr>
      <w:tr>
        <w:tc>
          <w:tcPr>
            <w:tcW w:type="dxa" w:w="2551"/>
            <w:shd w:fill="F2F6FA" w:val="clear"/>
          </w:tcPr>
          <w:p>
            <w:r>
              <w:rPr>
                <w:rFonts w:ascii="Calibri" w:hAnsi="Calibri"/>
                <w:b w:val="0"/>
                <w:color w:val="333333"/>
                <w:sz w:val="18"/>
              </w:rPr>
              <w:t>NXR_API_KEYS</w:t>
            </w:r>
          </w:p>
        </w:tc>
        <w:tc>
          <w:tcPr>
            <w:tcW w:type="dxa" w:w="1984"/>
            <w:shd w:fill="F2F6FA" w:val="clear"/>
          </w:tcPr>
          <w:p>
            <w:r>
              <w:rPr>
                <w:rFonts w:ascii="Calibri" w:hAnsi="Calibri"/>
                <w:b w:val="0"/>
                <w:color w:val="333333"/>
                <w:sz w:val="18"/>
              </w:rPr>
              <w:t>Platform credentials</w:t>
            </w:r>
          </w:p>
        </w:tc>
        <w:tc>
          <w:tcPr>
            <w:tcW w:type="dxa" w:w="5102"/>
            <w:shd w:fill="F2F6FA" w:val="clear"/>
          </w:tcPr>
          <w:p>
            <w:r>
              <w:rPr>
                <w:rFonts w:ascii="Calibri" w:hAnsi="Calibri"/>
                <w:b w:val="0"/>
                <w:color w:val="333333"/>
                <w:sz w:val="18"/>
              </w:rPr>
              <w:t>Never in the image or in the task definition's environment block — Secrets Manager only</w:t>
            </w:r>
          </w:p>
        </w:tc>
      </w:tr>
      <w:tr>
        <w:tc>
          <w:tcPr>
            <w:tcW w:type="dxa" w:w="2551"/>
          </w:tcPr>
          <w:p>
            <w:r>
              <w:rPr>
                <w:rFonts w:ascii="Calibri" w:hAnsi="Calibri"/>
                <w:b w:val="0"/>
                <w:color w:val="333333"/>
                <w:sz w:val="18"/>
              </w:rPr>
              <w:t>events.actor</w:t>
            </w:r>
          </w:p>
        </w:tc>
        <w:tc>
          <w:tcPr>
            <w:tcW w:type="dxa" w:w="1984"/>
          </w:tcPr>
          <w:p>
            <w:r>
              <w:rPr>
                <w:rFonts w:ascii="Calibri" w:hAnsi="Calibri"/>
                <w:b w:val="0"/>
                <w:color w:val="333333"/>
                <w:sz w:val="18"/>
              </w:rPr>
              <w:t>Operator identity</w:t>
            </w:r>
          </w:p>
        </w:tc>
        <w:tc>
          <w:tcPr>
            <w:tcW w:type="dxa" w:w="5102"/>
          </w:tcPr>
          <w:p>
            <w:r>
              <w:rPr>
                <w:rFonts w:ascii="Calibri" w:hAnsi="Calibri"/>
                <w:b w:val="0"/>
                <w:color w:val="333333"/>
                <w:sz w:val="18"/>
              </w:rPr>
              <w:t>Who or what caused a mutation; part of the audit record and retained indefinitely</w:t>
            </w:r>
          </w:p>
        </w:tc>
      </w:tr>
      <w:tr>
        <w:tc>
          <w:tcPr>
            <w:tcW w:type="dxa" w:w="2551"/>
            <w:shd w:fill="F2F6FA" w:val="clear"/>
          </w:tcPr>
          <w:p>
            <w:r>
              <w:rPr>
                <w:rFonts w:ascii="Calibri" w:hAnsi="Calibri"/>
                <w:b w:val="0"/>
                <w:color w:val="333333"/>
                <w:sz w:val="18"/>
              </w:rPr>
              <w:t>events.field_changes</w:t>
            </w:r>
          </w:p>
        </w:tc>
        <w:tc>
          <w:tcPr>
            <w:tcW w:type="dxa" w:w="1984"/>
            <w:shd w:fill="F2F6FA" w:val="clear"/>
          </w:tcPr>
          <w:p>
            <w:r>
              <w:rPr>
                <w:rFonts w:ascii="Calibri" w:hAnsi="Calibri"/>
                <w:b w:val="0"/>
                <w:color w:val="333333"/>
                <w:sz w:val="18"/>
              </w:rPr>
              <w:t>Business data</w:t>
            </w:r>
          </w:p>
        </w:tc>
        <w:tc>
          <w:tcPr>
            <w:tcW w:type="dxa" w:w="5102"/>
            <w:shd w:fill="F2F6FA" w:val="clear"/>
          </w:tcPr>
          <w:p>
            <w:r>
              <w:rPr>
                <w:rFonts w:ascii="Calibri" w:hAnsi="Calibri"/>
                <w:b w:val="0"/>
                <w:color w:val="333333"/>
                <w:sz w:val="18"/>
              </w:rPr>
              <w:t>Field-level before/after values; may carry customer-named assets and locations</w:t>
            </w:r>
          </w:p>
        </w:tc>
      </w:tr>
      <w:tr>
        <w:tc>
          <w:tcPr>
            <w:tcW w:type="dxa" w:w="2551"/>
          </w:tcPr>
          <w:p>
            <w:r>
              <w:rPr>
                <w:rFonts w:ascii="Calibri" w:hAnsi="Calibri"/>
                <w:b w:val="0"/>
                <w:color w:val="333333"/>
                <w:sz w:val="18"/>
              </w:rPr>
              <w:t>Twin entity properties</w:t>
            </w:r>
          </w:p>
        </w:tc>
        <w:tc>
          <w:tcPr>
            <w:tcW w:type="dxa" w:w="1984"/>
          </w:tcPr>
          <w:p>
            <w:r>
              <w:rPr>
                <w:rFonts w:ascii="Calibri" w:hAnsi="Calibri"/>
                <w:b w:val="0"/>
                <w:color w:val="333333"/>
                <w:sz w:val="18"/>
              </w:rPr>
              <w:t>Customer facility data</w:t>
            </w:r>
          </w:p>
        </w:tc>
        <w:tc>
          <w:tcPr>
            <w:tcW w:type="dxa" w:w="5102"/>
          </w:tcPr>
          <w:p>
            <w:r>
              <w:rPr>
                <w:rFonts w:ascii="Calibri" w:hAnsi="Calibri"/>
                <w:b w:val="0"/>
                <w:color w:val="333333"/>
                <w:sz w:val="18"/>
              </w:rPr>
              <w:t>Asset names, locations and capacities describe a customer site; tenant-scoped by key, never joined across tenants</w:t>
            </w:r>
          </w:p>
        </w:tc>
      </w:tr>
    </w:tbl>
    <w:p/>
    <w:p>
      <w:pPr>
        <w:pStyle w:val="Heading2"/>
      </w:pPr>
      <w:r>
        <w:rPr>
          <w:rFonts w:ascii="Calibri" w:hAnsi="Calibri"/>
          <w:color w:val="1B2A4A"/>
        </w:rPr>
        <w:t>5.5 Encryption and Transport</w:t>
      </w:r>
    </w:p>
    <w:p>
      <w:pPr>
        <w:pStyle w:val="ListBullet"/>
        <w:spacing w:after="40"/>
      </w:pPr>
      <w:r>
        <w:rPr>
          <w:rFonts w:ascii="Calibri" w:hAnsi="Calibri"/>
          <w:b w:val="0"/>
          <w:color w:val="333333"/>
          <w:sz w:val="20"/>
        </w:rPr>
        <w:t>At rest: RDS storage encryption (KMS), S3 default encryption (SSE-S3), Neo4j Aura managed encryption.</w:t>
      </w:r>
    </w:p>
    <w:p>
      <w:pPr>
        <w:pStyle w:val="ListBullet"/>
        <w:spacing w:after="40"/>
      </w:pPr>
      <w:r>
        <w:rPr>
          <w:rFonts w:ascii="Calibri" w:hAnsi="Calibri"/>
          <w:b w:val="0"/>
          <w:color w:val="333333"/>
          <w:sz w:val="20"/>
        </w:rPr>
        <w:t>In transit: sslmode=require for RDS — without it psycopg2 will quietly accept an unencrypted connection; neo4j+s:// for Aura; TLS for ElastiCache; TLS 1.3 on the MQTT edge gateway.</w:t>
      </w:r>
    </w:p>
    <w:p>
      <w:pPr>
        <w:pStyle w:val="ListBullet"/>
        <w:spacing w:after="40"/>
      </w:pPr>
      <w:r>
        <w:rPr>
          <w:rFonts w:ascii="Calibri" w:hAnsi="Calibri"/>
          <w:b w:val="0"/>
          <w:color w:val="333333"/>
          <w:sz w:val="20"/>
        </w:rPr>
        <w:t>S3 buckets have Block Public Access on; presigned URLs still work, and object access is granted to the ECS task role rather than to access keys in the environment.</w:t>
      </w:r>
    </w:p>
    <w:p/>
    <w:p>
      <w:pPr>
        <w:jc w:val="center"/>
      </w:pPr>
      <w:r>
        <w:rPr>
          <w:rFonts w:ascii="Calibri" w:hAnsi="Calibri"/>
          <w:b w:val="0"/>
          <w:color w:val="666666"/>
          <w:sz w:val="18"/>
        </w:rPr>
        <w:t>NextXR Digital Twin Platform -- Data Requirements Document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