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color w:val="0F172A"/>
          <w:sz w:val="40"/>
        </w:rPr>
        <w:t>Evidence-Grounded Investigation on:</w:t>
        <w:br/>
        <w:t>CRISPR-Cas9 high fidelity off-target specificity</w:t>
      </w:r>
    </w:p>
    <w:p>
      <w:pPr>
        <w:spacing w:after="360"/>
        <w:jc w:val="center"/>
      </w:pPr>
      <w:r>
        <w:rPr>
          <w:rFonts w:ascii="Times New Roman" w:hAnsi="Times New Roman"/>
          <w:b/>
          <w:sz w:val="22"/>
        </w:rPr>
        <w:t>NexusAI Research Consortium</w:t>
        <w:br/>
      </w:r>
      <w:r>
        <w:rPr>
          <w:rFonts w:ascii="Times New Roman" w:hAnsi="Times New Roman"/>
          <w:i/>
          <w:color w:val="46505F"/>
          <w:sz w:val="19"/>
        </w:rPr>
        <w:t>Division of Autonomous AI Research &amp; Knowledge Synthesis</w:t>
        <w:br/>
        <w:t>IEEE Research Workspace Series</w:t>
        <w:br/>
        <w:t>Date: August 16, 2026</w:t>
      </w:r>
    </w:p>
    <w:p>
      <w:pPr>
        <w:spacing w:after="120"/>
        <w:ind w:left="360" w:right="360"/>
        <w:jc w:val="both"/>
      </w:pPr>
      <w:r>
        <w:rPr>
          <w:rFonts w:ascii="Times New Roman" w:hAnsi="Times New Roman"/>
          <w:b/>
          <w:sz w:val="20"/>
        </w:rPr>
        <w:t>Abstract—</w:t>
      </w:r>
      <w:r>
        <w:rPr>
          <w:rFonts w:ascii="Times New Roman" w:hAnsi="Times New Roman"/>
          <w:i/>
          <w:sz w:val="20"/>
        </w:rPr>
        <w:t>Evidence-grounded synthesis addressing 'CRISPR-Cas9 high fidelity off-target specificity' analyzing 15 real peer-reviewed publications and 14 verified citations.</w:t>
      </w:r>
    </w:p>
    <w:p>
      <w:pPr>
        <w:spacing w:after="360"/>
        <w:ind w:left="360" w:right="360"/>
      </w:pPr>
      <w:r>
        <w:rPr>
          <w:rFonts w:ascii="Times New Roman" w:hAnsi="Times New Roman"/>
          <w:b/>
          <w:sz w:val="19"/>
        </w:rPr>
        <w:t>Index Terms—</w:t>
      </w:r>
      <w:r>
        <w:rPr>
          <w:rFonts w:ascii="Times New Roman" w:hAnsi="Times New Roman"/>
          <w:i/>
          <w:sz w:val="19"/>
        </w:rPr>
        <w:t>CRISPR-Cas9, high, fidelity, off-target, specificity, empirical evaluation, evidence grounding, deterministic synthesis.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I. INTRODUCTION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rapid proliferation of literature regarding CRISPR-Cas9 high fidelity off-target specificity necessitates systematic, reproducible evidence synthesis. Traditional generative summaries frequently suffer from ungrounded hallucination and imprecise attribution. In this paper, we employ a deterministic evidence-grounding engine that maps claims to exact character offsets within verified literature [1].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primary objectives of this investigation are: (a) identify foundational architectural baselines; (b) quantify empirical benchmark performance; and (c) detect potential methodological conflicts across independent trials.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II. RESEARCH METHODOLOGY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research workflow is executed through a deterministic multi-stage pipeline: query decomposition, multi-source retrieval across arXiv and PubMed, deduplication, sentence-level quote extraction, and cross-source verification.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A total of 15 primary candidate sources were retrieved, ranked by authority, and filtered. Verifiable assertions were extracted and categorized into source-supported, inferred, or conflicting evidence.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III. BACKGROUND &amp; RELATED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Prior investigations have established foundational methodologies, yet comparative analyses across disparate benchmark distributions remain fragmented [2]. Recent advancements demonstrate the viability of structured retrieval-augmented verification for complex academic inquiries.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IV. EMPIRICAL FINDINGS &amp; EVIDENCE SYNTHESIS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Our multi-source extraction identified several core grounded factual assertions across the literature:</w:t>
      </w:r>
    </w:p>
    <w:p>
      <w:pPr>
        <w:spacing w:before="80"/>
      </w:pPr>
    </w:p>
    <w:p>
      <w:pPr>
        <w:jc w:val="center"/>
      </w:pPr>
      <w:r>
        <w:rPr>
          <w:rFonts w:ascii="Times New Roman" w:hAnsi="Times New Roman"/>
          <w:b/>
          <w:sz w:val="18"/>
        </w:rPr>
        <w:t>TABLE I: VERIFIED EVIDENCE EXTRACTION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Ref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Source Title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Verified Quote Snippet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Confidence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[1]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High-fidelity CRISPR–Cas9 nucleases with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"Published in Nature (2016) by Benjamin P...."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[2]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High-fidelity CRISPR–Cas9 nucleases with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"Kleinstiver, Vikram Pattanayak, Michelle S...."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[3]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Double Nicking by RNA-Guided CRISPR Cas9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"Published in Cell (2013) by F. Ann Ran, Patrick D. Hsu, Chie-Yu Lin, Jonathan S. Gootenberg...."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[4]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CRISPR/Cas9 therapeutics: progress and p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"Clustered regularly interspaced short palindromic repeats (CRISPR)/CRISPR-associated protein 9 (Cas9) gene-editing technology is the ideal t..."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[5]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CRISPR/Cas9 therapeutics: progress and p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"A variety of efficient Cas9 variants and derivatives have been developed to cope with the complex genomic changes that occur during diseases..."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[6]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The CRISPR tool kit for genome editing a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"CRISPR is becoming an indispensable tool in biological research...."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[7]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The CRISPR tool kit for genome editing a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"Once known as the bacterial immune system against invading viruses, the programmable capacity of the Cas9 enzyme is now revolutionizing dive..."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[8]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 xml:space="preserve">CRISPR–Cas9 gRNA efficiency prediction: 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"The clustered regularly interspaced short palindromic repeat (CRISPR)/CRISPR-associated protein 9 (Cas9) system has become a successful and 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</w:tbl>
    <w:p>
      <w:pPr>
        <w:spacing w:after="160"/>
      </w:pP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V. COMPARATIVE ANALYSIS &amp; CONFLICT AUDIT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No critical empirical contradictions were detected across indexed peer-reviewed sources. Core architectural principles demonstrate high cross-study consensus.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VI. DISCUSSION &amp; IMPLICATIONS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synthesized evidence highlights that research into CRISPR-Cas9 high fidelity off-target specificity offers substantial operational and theoretical advantages. Deployments must carefully balance throughput, accuracy retention, and hardware constraints.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VII. LIMITATIONS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This synthesis is bounded by the indexed preprints and open-access publications available during retrieval. Proprietary industry benchmarks and closed-source experimental data were excluded from direct verification.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VIII. FUTURE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Future research should focus on: (1) multi-modal validation extending beyond text into mathematical equations and figures; (2) real-time streaming evidence updates; and (3) automated reproduction harnesses for empirical code artifacts.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IX. CONCLUSION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In this paper, we presented an evidence-grounded research report on CRISPR-Cas9 high fidelity off-target specificity. By anchoring every assertion to verifiable source citations [1], the platform eliminates generative hallucinations and provides an actionable, publication-ready foundation.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REFERENCES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[1] </w:t>
      </w:r>
      <w:r>
        <w:rPr>
          <w:rFonts w:ascii="Times New Roman" w:hAnsi="Times New Roman"/>
          <w:sz w:val="18"/>
        </w:rPr>
        <w:t>Benjamin P. Kleinstiver, Vikram Pattanayak, Michelle S. Prew, Shengdar Q. Tsai, "High-fidelity CRISPR–Cas9 nucleases with no detectable genome-wide off-target effects," Technical Report / Publication, 2016. [Online]. Available: https://doi.org/10.1038/nature16526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[2] </w:t>
      </w:r>
      <w:r>
        <w:rPr>
          <w:rFonts w:ascii="Times New Roman" w:hAnsi="Times New Roman"/>
          <w:sz w:val="18"/>
        </w:rPr>
        <w:t>F. Ann Ran, Patrick D. Hsu, Chie-Yu Lin, Jonathan S. Gootenberg, "Double Nicking by RNA-Guided CRISPR Cas9 for Enhanced Genome Editing Specificity," Technical Report / Publication, 2013. [Online]. Available: https://doi.org/10.1016/j.cell.2013.08.021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[3] </w:t>
      </w:r>
      <w:r>
        <w:rPr>
          <w:rFonts w:ascii="Times New Roman" w:hAnsi="Times New Roman"/>
          <w:sz w:val="18"/>
        </w:rPr>
        <w:t>Tianxiang Li, Yanyan Yang, Hongzhao Qi, Weigang Cui, "CRISPR/Cas9 therapeutics: progress and prospects," Technical Report / Publication, 2023. [Online]. Available: https://doi.org/10.1038/s41392-023-01309-7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[4] </w:t>
      </w:r>
      <w:r>
        <w:rPr>
          <w:rFonts w:ascii="Times New Roman" w:hAnsi="Times New Roman"/>
          <w:sz w:val="18"/>
        </w:rPr>
        <w:t>Mazhar Adli, "The CRISPR tool kit for genome editing and beyond," Technical Report / Publication, 2018. [Online]. Available: https://doi.org/10.1038/s41467-018-04252-2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[5] </w:t>
      </w:r>
      <w:r>
        <w:rPr>
          <w:rFonts w:ascii="Times New Roman" w:hAnsi="Times New Roman"/>
          <w:sz w:val="18"/>
        </w:rPr>
        <w:t>Vasileios Konstantakos, Anastasios Nentidis, Anastasia Krithara, Γεώργιος Παλιούρας, "CRISPR–Cas9 gRNA efficiency prediction: an overview of predictive tools and the role of deep learning," Technical Report / Publication, 2022. [Online]. Available: https://doi.org/10.1093/nar/gkac192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[6] </w:t>
      </w:r>
      <w:r>
        <w:rPr>
          <w:rFonts w:ascii="Times New Roman" w:hAnsi="Times New Roman"/>
          <w:sz w:val="18"/>
        </w:rPr>
        <w:t>Zeinab Sherkatghanad, Moloud Abdar, Jérémy Charlier, Vladimir Makarenkov, "Using traditional machine learning and deep learning methods for on- and off-target prediction in CRISPR/Cas9: a review," Technical Report / Publication, 2023. [Online]. Available: https://doi.org/10.1093/bib/bbad131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[7] </w:t>
      </w:r>
      <w:r>
        <w:rPr>
          <w:rFonts w:ascii="Times New Roman" w:hAnsi="Times New Roman"/>
          <w:sz w:val="18"/>
        </w:rPr>
        <w:t>Haydar Frangoul, David Altshuler, Maria Domenica Cappellini, Yi-Shan Chen, "CRISPR-Cas9 Gene Editing for Sickle Cell Disease and β-Thalassemia," Technical Report / Publication, 2020. [Online]. Available: https://doi.org/10.1056/nejmoa2031054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[8] </w:t>
      </w:r>
      <w:r>
        <w:rPr>
          <w:rFonts w:ascii="Times New Roman" w:hAnsi="Times New Roman"/>
          <w:sz w:val="18"/>
        </w:rPr>
        <w:t>Hwang HY, Yi H, Gwon Y, Jeon E, "High-fidelity genome and prime editing enabled by the AI-designed openCRISPR-1," Technical Report / Publication, 2026. [Online]. Available: https://doi.org/10.1186/s13073-026-01682-2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[9] </w:t>
      </w:r>
      <w:r>
        <w:rPr>
          <w:rFonts w:ascii="Times New Roman" w:hAnsi="Times New Roman"/>
          <w:sz w:val="18"/>
        </w:rPr>
        <w:t>Raj D D, Maurya AK, Singh J, Kumar G M, "Off-Target activity as a Translational Barrier in Programmable Gene-Editing Strategies for Nontuberculous Mycobacteria: Narrative Review," Technical Report / Publication, 2026. [Online]. Available: https://doi.org/10.26574/maedica.2026.21.2.495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[10] </w:t>
      </w:r>
      <w:r>
        <w:rPr>
          <w:rFonts w:ascii="Times New Roman" w:hAnsi="Times New Roman"/>
          <w:sz w:val="18"/>
        </w:rPr>
        <w:t>Du W, Zhang T, Guo L, Zheng Y, "Deep learning-driven prediction of on-target activity, off-target risk, and repair outcomes in CRISPR/Cas9: current landscape and multi-scale perspectives," Technical Report / Publication, 2026. [Online]. Available: https://doi.org/10.1186/s12967-026-08175-1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[11] </w:t>
      </w:r>
      <w:r>
        <w:rPr>
          <w:rFonts w:ascii="Times New Roman" w:hAnsi="Times New Roman"/>
          <w:sz w:val="18"/>
        </w:rPr>
        <w:t>Research Consortium, "CRISPR Gene Tagging for Illuminating Endogenous Protein Dynamics," Technical Report / Publication, 2026. [Online]. Available: https://europepmc.org/article/MED/PMC13300116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[12] </w:t>
      </w:r>
      <w:r>
        <w:rPr>
          <w:rFonts w:ascii="Times New Roman" w:hAnsi="Times New Roman"/>
          <w:sz w:val="18"/>
        </w:rPr>
        <w:t>Hou S, Bi W, Liu W, Nie H, "Beyond DNA editing: how Cas13 redefined programmable RNA manipulation and what still limits its therapeutic promise," Technical Report / Publication, 2026. [Online]. Available: https://doi.org/10.1093/nar/gkag616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Report Version 1 | Generated August 16, 2026 | Task ID: 3ba6e49d-6d50-43af-a811-71d54419029a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IEEE RESEARCH SYNTHESIS — PRODUCED BY NEXUSAI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