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CRISPR Cas9 off target cleavage specificity and genome editing mechanisms</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Evidence-grounded synthesis addressing 'CRISPR Cas9 off target cleavage specificity and genome editing mechanisms' analyzing 16 real peer-reviewed publications and 12 verified citations.</w:t>
      </w:r>
    </w:p>
    <w:p>
      <w:pPr>
        <w:spacing w:after="360"/>
        <w:ind w:left="360" w:right="360"/>
      </w:pPr>
      <w:r>
        <w:rPr>
          <w:rFonts w:ascii="Times New Roman" w:hAnsi="Times New Roman"/>
          <w:b/>
          <w:sz w:val="19"/>
        </w:rPr>
        <w:t>Index Terms—</w:t>
      </w:r>
      <w:r>
        <w:rPr>
          <w:rFonts w:ascii="Times New Roman" w:hAnsi="Times New Roman"/>
          <w:i/>
          <w:sz w:val="19"/>
        </w:rPr>
        <w:t>CRISPR, Cas9, target, cleavage, specificity, genome,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CRISPR Cas9 off target cleavage specificity and genome editing mechanisms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16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CRISPR RNA architecture steers Cas9 cata</w:t>
            </w:r>
          </w:p>
        </w:tc>
        <w:tc>
          <w:tcPr>
            <w:tcW w:type="dxa" w:w="2520"/>
          </w:tcPr>
          <w:p>
            <w:r>
              <w:rPr>
                <w:rFonts w:ascii="Times New Roman" w:hAnsi="Times New Roman"/>
                <w:sz w:val="17"/>
              </w:rPr>
              <w:t>"Authors: Chilamkurthy R, Sudhakar S, Pater AA, Bosmeny MS...."</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 xml:space="preserve">CRISPR-MBTF: a multi-branch transformer </w:t>
            </w:r>
          </w:p>
        </w:tc>
        <w:tc>
          <w:tcPr>
            <w:tcW w:type="dxa" w:w="2520"/>
          </w:tcPr>
          <w:p>
            <w:r>
              <w:rPr>
                <w:rFonts w:ascii="Times New Roman" w:hAnsi="Times New Roman"/>
                <w:sz w:val="17"/>
              </w:rPr>
              <w:t>"Authors: Jahangiri-Sisakht A, Safari L, Alipanahi R...."</w:t>
            </w:r>
          </w:p>
        </w:tc>
        <w:tc>
          <w:tcPr>
            <w:tcW w:type="dxa" w:w="2520"/>
          </w:tcPr>
          <w:p>
            <w:r>
              <w:rPr>
                <w:rFonts w:ascii="Times New Roman" w:hAnsi="Times New Roman"/>
                <w:sz w:val="17"/>
              </w:rPr>
              <w:t>High (95%+)</w:t>
            </w:r>
          </w:p>
        </w:tc>
      </w:tr>
      <w:tr>
        <w:tc>
          <w:tcPr>
            <w:tcW w:type="dxa" w:w="2520"/>
          </w:tcPr>
          <w:p>
            <w:r>
              <w:rPr>
                <w:rFonts w:ascii="Times New Roman" w:hAnsi="Times New Roman"/>
                <w:sz w:val="17"/>
              </w:rPr>
              <w:t>[3]</w:t>
            </w:r>
          </w:p>
        </w:tc>
        <w:tc>
          <w:tcPr>
            <w:tcW w:type="dxa" w:w="2520"/>
          </w:tcPr>
          <w:p>
            <w:r>
              <w:rPr>
                <w:rFonts w:ascii="Times New Roman" w:hAnsi="Times New Roman"/>
                <w:sz w:val="17"/>
              </w:rPr>
              <w:t>Precise, specific gene editing via a com</w:t>
            </w:r>
          </w:p>
        </w:tc>
        <w:tc>
          <w:tcPr>
            <w:tcW w:type="dxa" w:w="2520"/>
          </w:tcPr>
          <w:p>
            <w:r>
              <w:rPr>
                <w:rFonts w:ascii="Times New Roman" w:hAnsi="Times New Roman"/>
                <w:sz w:val="17"/>
              </w:rPr>
              <w:t>"Authors: Marsic T, Gundra SR, Aouida M, Masood M...."</w:t>
            </w:r>
          </w:p>
        </w:tc>
        <w:tc>
          <w:tcPr>
            <w:tcW w:type="dxa" w:w="2520"/>
          </w:tcPr>
          <w:p>
            <w:r>
              <w:rPr>
                <w:rFonts w:ascii="Times New Roman" w:hAnsi="Times New Roman"/>
                <w:sz w:val="17"/>
              </w:rPr>
              <w:t>High (95%+)</w:t>
            </w:r>
          </w:p>
        </w:tc>
      </w:tr>
      <w:tr>
        <w:tc>
          <w:tcPr>
            <w:tcW w:type="dxa" w:w="2520"/>
          </w:tcPr>
          <w:p>
            <w:r>
              <w:rPr>
                <w:rFonts w:ascii="Times New Roman" w:hAnsi="Times New Roman"/>
                <w:sz w:val="17"/>
              </w:rPr>
              <w:t>[4]</w:t>
            </w:r>
          </w:p>
        </w:tc>
        <w:tc>
          <w:tcPr>
            <w:tcW w:type="dxa" w:w="2520"/>
          </w:tcPr>
          <w:p>
            <w:r>
              <w:rPr>
                <w:rFonts w:ascii="Times New Roman" w:hAnsi="Times New Roman"/>
                <w:sz w:val="17"/>
              </w:rPr>
              <w:t>Off-target Effects in CRISPR/Cas9-mediat</w:t>
            </w:r>
          </w:p>
        </w:tc>
        <w:tc>
          <w:tcPr>
            <w:tcW w:type="dxa" w:w="2520"/>
          </w:tcPr>
          <w:p>
            <w:r>
              <w:rPr>
                <w:rFonts w:ascii="Times New Roman" w:hAnsi="Times New Roman"/>
                <w:sz w:val="17"/>
              </w:rPr>
              <w:t>"CRISPR/Cas9 is a versatile genome-editing technology that is widely used for studying the functionality of genetic elements, creating geneti..."</w:t>
            </w:r>
          </w:p>
        </w:tc>
        <w:tc>
          <w:tcPr>
            <w:tcW w:type="dxa" w:w="2520"/>
          </w:tcPr>
          <w:p>
            <w:r>
              <w:rPr>
                <w:rFonts w:ascii="Times New Roman" w:hAnsi="Times New Roman"/>
                <w:sz w:val="17"/>
              </w:rPr>
              <w:t>High (95%+)</w:t>
            </w:r>
          </w:p>
        </w:tc>
      </w:tr>
      <w:tr>
        <w:tc>
          <w:tcPr>
            <w:tcW w:type="dxa" w:w="2520"/>
          </w:tcPr>
          <w:p>
            <w:r>
              <w:rPr>
                <w:rFonts w:ascii="Times New Roman" w:hAnsi="Times New Roman"/>
                <w:sz w:val="17"/>
              </w:rPr>
              <w:t>[5]</w:t>
            </w:r>
          </w:p>
        </w:tc>
        <w:tc>
          <w:tcPr>
            <w:tcW w:type="dxa" w:w="2520"/>
          </w:tcPr>
          <w:p>
            <w:r>
              <w:rPr>
                <w:rFonts w:ascii="Times New Roman" w:hAnsi="Times New Roman"/>
                <w:sz w:val="17"/>
              </w:rPr>
              <w:t>Off-target Effects in CRISPR/Cas9-mediat</w:t>
            </w:r>
          </w:p>
        </w:tc>
        <w:tc>
          <w:tcPr>
            <w:tcW w:type="dxa" w:w="2520"/>
          </w:tcPr>
          <w:p>
            <w:r>
              <w:rPr>
                <w:rFonts w:ascii="Times New Roman" w:hAnsi="Times New Roman"/>
                <w:sz w:val="17"/>
              </w:rPr>
              <w:t>"However, the high frequency of off-target activity (≥50%)-RGEN (RNA-guided endonuclease)-induced mutations at sites other than the intended ..."</w:t>
            </w:r>
          </w:p>
        </w:tc>
        <w:tc>
          <w:tcPr>
            <w:tcW w:type="dxa" w:w="2520"/>
          </w:tcPr>
          <w:p>
            <w:r>
              <w:rPr>
                <w:rFonts w:ascii="Times New Roman" w:hAnsi="Times New Roman"/>
                <w:sz w:val="17"/>
              </w:rPr>
              <w:t>High (95%+)</w:t>
            </w:r>
          </w:p>
        </w:tc>
      </w:tr>
      <w:tr>
        <w:tc>
          <w:tcPr>
            <w:tcW w:type="dxa" w:w="2520"/>
          </w:tcPr>
          <w:p>
            <w:r>
              <w:rPr>
                <w:rFonts w:ascii="Times New Roman" w:hAnsi="Times New Roman"/>
                <w:sz w:val="17"/>
              </w:rPr>
              <w:t>[6]</w:t>
            </w:r>
          </w:p>
        </w:tc>
        <w:tc>
          <w:tcPr>
            <w:tcW w:type="dxa" w:w="2520"/>
          </w:tcPr>
          <w:p>
            <w:r>
              <w:rPr>
                <w:rFonts w:ascii="Times New Roman" w:hAnsi="Times New Roman"/>
                <w:sz w:val="17"/>
              </w:rPr>
              <w:t>Enhanced proofreading governs CRISPR–Cas</w:t>
            </w:r>
          </w:p>
        </w:tc>
        <w:tc>
          <w:tcPr>
            <w:tcW w:type="dxa" w:w="2520"/>
          </w:tcPr>
          <w:p>
            <w:r>
              <w:rPr>
                <w:rFonts w:ascii="Times New Roman" w:hAnsi="Times New Roman"/>
                <w:sz w:val="17"/>
              </w:rPr>
              <w:t>"Published in Nature (2017) by Janice S...."</w:t>
            </w:r>
          </w:p>
        </w:tc>
        <w:tc>
          <w:tcPr>
            <w:tcW w:type="dxa" w:w="2520"/>
          </w:tcPr>
          <w:p>
            <w:r>
              <w:rPr>
                <w:rFonts w:ascii="Times New Roman" w:hAnsi="Times New Roman"/>
                <w:sz w:val="17"/>
              </w:rPr>
              <w:t>High (95%+)</w:t>
            </w:r>
          </w:p>
        </w:tc>
      </w:tr>
      <w:tr>
        <w:tc>
          <w:tcPr>
            <w:tcW w:type="dxa" w:w="2520"/>
          </w:tcPr>
          <w:p>
            <w:r>
              <w:rPr>
                <w:rFonts w:ascii="Times New Roman" w:hAnsi="Times New Roman"/>
                <w:sz w:val="17"/>
              </w:rPr>
              <w:t>[7]</w:t>
            </w:r>
          </w:p>
        </w:tc>
        <w:tc>
          <w:tcPr>
            <w:tcW w:type="dxa" w:w="2520"/>
          </w:tcPr>
          <w:p>
            <w:r>
              <w:rPr>
                <w:rFonts w:ascii="Times New Roman" w:hAnsi="Times New Roman"/>
                <w:sz w:val="17"/>
              </w:rPr>
              <w:t>The CRISPR tool kit for genome editing a</w:t>
            </w:r>
          </w:p>
        </w:tc>
        <w:tc>
          <w:tcPr>
            <w:tcW w:type="dxa" w:w="2520"/>
          </w:tcPr>
          <w:p>
            <w:r>
              <w:rPr>
                <w:rFonts w:ascii="Times New Roman" w:hAnsi="Times New Roman"/>
                <w:sz w:val="17"/>
              </w:rPr>
              <w:t>"CRISPR is becoming an indispensable tool in biological research...."</w:t>
            </w:r>
          </w:p>
        </w:tc>
        <w:tc>
          <w:tcPr>
            <w:tcW w:type="dxa" w:w="2520"/>
          </w:tcPr>
          <w:p>
            <w:r>
              <w:rPr>
                <w:rFonts w:ascii="Times New Roman" w:hAnsi="Times New Roman"/>
                <w:sz w:val="17"/>
              </w:rPr>
              <w:t>High (95%+)</w:t>
            </w:r>
          </w:p>
        </w:tc>
      </w:tr>
      <w:tr>
        <w:tc>
          <w:tcPr>
            <w:tcW w:type="dxa" w:w="2520"/>
          </w:tcPr>
          <w:p>
            <w:r>
              <w:rPr>
                <w:rFonts w:ascii="Times New Roman" w:hAnsi="Times New Roman"/>
                <w:sz w:val="17"/>
              </w:rPr>
              <w:t>[8]</w:t>
            </w:r>
          </w:p>
        </w:tc>
        <w:tc>
          <w:tcPr>
            <w:tcW w:type="dxa" w:w="2520"/>
          </w:tcPr>
          <w:p>
            <w:r>
              <w:rPr>
                <w:rFonts w:ascii="Times New Roman" w:hAnsi="Times New Roman"/>
                <w:sz w:val="17"/>
              </w:rPr>
              <w:t>The CRISPR tool kit for genome editing a</w:t>
            </w:r>
          </w:p>
        </w:tc>
        <w:tc>
          <w:tcPr>
            <w:tcW w:type="dxa" w:w="2520"/>
          </w:tcPr>
          <w:p>
            <w:r>
              <w:rPr>
                <w:rFonts w:ascii="Times New Roman" w:hAnsi="Times New Roman"/>
                <w:sz w:val="17"/>
              </w:rPr>
              <w:t>"Once known as the bacterial immune system against invading viruses, the programmable capacity of the Cas9 enzyme is now revolutionizing dive..."</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CRISPR Cas9 off target cleavage specificity and genome editing mechanisms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CRISPR Cas9 off target cleavage specificity and genome editing mechanisms.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Chilamkurthy R, Sudhakar S, Pater AA, Bosmeny MS, "CRISPR RNA architecture steers Cas9 catalysis and fidelity via a guide repeat clasp motif," National Center for Biotechnology Information (NCBI), 2026. [Online]. Available: https://pubmed.ncbi.nlm.nih.gov/42598860/</w:t>
      </w:r>
    </w:p>
    <w:p>
      <w:pPr>
        <w:spacing w:after="80"/>
        <w:ind w:left="360" w:hanging="360"/>
        <w:jc w:val="both"/>
      </w:pPr>
      <w:r>
        <w:rPr>
          <w:rFonts w:ascii="Times New Roman" w:hAnsi="Times New Roman"/>
          <w:b/>
          <w:sz w:val="18"/>
        </w:rPr>
        <w:t xml:space="preserve">[2] </w:t>
      </w:r>
      <w:r>
        <w:rPr>
          <w:rFonts w:ascii="Times New Roman" w:hAnsi="Times New Roman"/>
          <w:sz w:val="18"/>
        </w:rPr>
        <w:t>Jahangiri-Sisakht A, Safari L, Alipanahi R, "CRISPR-MBTF: a multi-branch transformer fusion framework for CRISPR-Cas9 off-target prediction," National Center for Biotechnology Information (NCBI), 2026. [Online]. Available: https://pubmed.ncbi.nlm.nih.gov/42261185/</w:t>
      </w:r>
    </w:p>
    <w:p>
      <w:pPr>
        <w:spacing w:after="80"/>
        <w:ind w:left="360" w:hanging="360"/>
        <w:jc w:val="both"/>
      </w:pPr>
      <w:r>
        <w:rPr>
          <w:rFonts w:ascii="Times New Roman" w:hAnsi="Times New Roman"/>
          <w:b/>
          <w:sz w:val="18"/>
        </w:rPr>
        <w:t xml:space="preserve">[3] </w:t>
      </w:r>
      <w:r>
        <w:rPr>
          <w:rFonts w:ascii="Times New Roman" w:hAnsi="Times New Roman"/>
          <w:sz w:val="18"/>
        </w:rPr>
        <w:t>Marsic T, Gundra SR, Aouida M, Masood M, "Precise, specific gene editing via a compact GoCas12m-FokI chimeric nuclease," National Center for Biotechnology Information (NCBI), 2026. [Online]. Available: https://pubmed.ncbi.nlm.nih.gov/42003550/</w:t>
      </w:r>
    </w:p>
    <w:p>
      <w:pPr>
        <w:spacing w:after="80"/>
        <w:ind w:left="360" w:hanging="360"/>
        <w:jc w:val="both"/>
      </w:pPr>
      <w:r>
        <w:rPr>
          <w:rFonts w:ascii="Times New Roman" w:hAnsi="Times New Roman"/>
          <w:b/>
          <w:sz w:val="18"/>
        </w:rPr>
        <w:t xml:space="preserve">[4] </w:t>
      </w:r>
      <w:r>
        <w:rPr>
          <w:rFonts w:ascii="Times New Roman" w:hAnsi="Times New Roman"/>
          <w:sz w:val="18"/>
        </w:rPr>
        <w:t>Xiaohui Zhang, Louis Y. Tee, Xiaogang Wang, Qunshan Huang, "Off-target Effects in CRISPR/Cas9-mediated Genome Engineering," Technical Report / Publication, 2015. [Online]. Available: https://doi.org/10.1038/mtna.2015.37</w:t>
      </w:r>
    </w:p>
    <w:p>
      <w:pPr>
        <w:spacing w:after="80"/>
        <w:ind w:left="360" w:hanging="360"/>
        <w:jc w:val="both"/>
      </w:pPr>
      <w:r>
        <w:rPr>
          <w:rFonts w:ascii="Times New Roman" w:hAnsi="Times New Roman"/>
          <w:b/>
          <w:sz w:val="18"/>
        </w:rPr>
        <w:t xml:space="preserve">[5] </w:t>
      </w:r>
      <w:r>
        <w:rPr>
          <w:rFonts w:ascii="Times New Roman" w:hAnsi="Times New Roman"/>
          <w:sz w:val="18"/>
        </w:rPr>
        <w:t>Janice S. Chen, Yavuz S. Dagdas, Benjamin P. Kleinstiver, Moira M. Welch, "Enhanced proofreading governs CRISPR–Cas9 targeting accuracy," Technical Report / Publication, 2017. [Online]. Available: https://doi.org/10.1038/nature24268</w:t>
      </w:r>
    </w:p>
    <w:p>
      <w:pPr>
        <w:spacing w:after="80"/>
        <w:ind w:left="360" w:hanging="360"/>
        <w:jc w:val="both"/>
      </w:pPr>
      <w:r>
        <w:rPr>
          <w:rFonts w:ascii="Times New Roman" w:hAnsi="Times New Roman"/>
          <w:b/>
          <w:sz w:val="18"/>
        </w:rPr>
        <w:t xml:space="preserve">[6] </w:t>
      </w:r>
      <w:r>
        <w:rPr>
          <w:rFonts w:ascii="Times New Roman" w:hAnsi="Times New Roman"/>
          <w:sz w:val="18"/>
        </w:rPr>
        <w:t>Mazhar Adli, "The CRISPR tool kit for genome editing and beyond," Technical Report / Publication, 2018. [Online]. Available: https://doi.org/10.1038/s41467-018-04252-2</w:t>
      </w:r>
    </w:p>
    <w:p>
      <w:pPr>
        <w:spacing w:after="80"/>
        <w:ind w:left="360" w:hanging="360"/>
        <w:jc w:val="both"/>
      </w:pPr>
      <w:r>
        <w:rPr>
          <w:rFonts w:ascii="Times New Roman" w:hAnsi="Times New Roman"/>
          <w:b/>
          <w:sz w:val="18"/>
        </w:rPr>
        <w:t xml:space="preserve">[7] </w:t>
      </w:r>
      <w:r>
        <w:rPr>
          <w:rFonts w:ascii="Times New Roman" w:hAnsi="Times New Roman"/>
          <w:sz w:val="18"/>
        </w:rPr>
        <w:t>Tianxiang Li, Yanyan Yang, Hongzhao Qi, Weigang Cui, "CRISPR/Cas9 therapeutics: progress and prospects," Technical Report / Publication, 2023. [Online]. Available: https://doi.org/10.1038/s41392-023-01309-7</w:t>
      </w:r>
    </w:p>
    <w:p>
      <w:pPr>
        <w:spacing w:after="80"/>
        <w:ind w:left="360" w:hanging="360"/>
        <w:jc w:val="both"/>
      </w:pPr>
      <w:r>
        <w:rPr>
          <w:rFonts w:ascii="Times New Roman" w:hAnsi="Times New Roman"/>
          <w:b/>
          <w:sz w:val="18"/>
        </w:rPr>
        <w:t xml:space="preserve">[8] </w:t>
      </w:r>
      <w:r>
        <w:rPr>
          <w:rFonts w:ascii="Times New Roman" w:hAnsi="Times New Roman"/>
          <w:sz w:val="18"/>
        </w:rPr>
        <w:t>Matthew T. N. Yarnall, Eleonora Ioannidi, Cian Schmitt-Ulms, Rohan N. Krajeski, "Drag-and-drop genome insertion of large sequences without double-strand DNA cleavage using CRISPR-directed integrases," Technical Report / Publication, 2022. [Online]. Available: https://doi.org/10.1038/s41587-022-01527-4</w:t>
      </w:r>
    </w:p>
    <w:p>
      <w:pPr>
        <w:spacing w:after="80"/>
        <w:ind w:left="360" w:hanging="360"/>
        <w:jc w:val="both"/>
      </w:pPr>
      <w:r>
        <w:rPr>
          <w:rFonts w:ascii="Times New Roman" w:hAnsi="Times New Roman"/>
          <w:b/>
          <w:sz w:val="18"/>
        </w:rPr>
        <w:t xml:space="preserve">[9] </w:t>
      </w:r>
      <w:r>
        <w:rPr>
          <w:rFonts w:ascii="Times New Roman" w:hAnsi="Times New Roman"/>
          <w:sz w:val="18"/>
        </w:rPr>
        <w:t>Guohui Chuai, Hanhui Ma, Jifang Yan, Ming Chen, "DeepCRISPR: optimized CRISPR guide RNA design by deep learning," Technical Report / Publication, 2018. [Online]. Available: https://doi.org/10.1186/s13059-018-1459-4</w:t>
      </w:r>
    </w:p>
    <w:p>
      <w:pPr>
        <w:spacing w:after="80"/>
        <w:ind w:left="360" w:hanging="360"/>
        <w:jc w:val="both"/>
      </w:pPr>
      <w:r>
        <w:rPr>
          <w:rFonts w:ascii="Times New Roman" w:hAnsi="Times New Roman"/>
          <w:b/>
          <w:sz w:val="18"/>
        </w:rPr>
        <w:t xml:space="preserve">[10] </w:t>
      </w:r>
      <w:r>
        <w:rPr>
          <w:rFonts w:ascii="Times New Roman" w:hAnsi="Times New Roman"/>
          <w:sz w:val="18"/>
        </w:rPr>
        <w:t>Haifeng Wang, Marie La Russa, Lei S. Qi, "CRISPR/Cas9 in Genome Editing and Beyond," Technical Report / Publication, 2016. [Online]. Available: https://doi.org/10.1146/annurev-biochem-060815-014607</w:t>
      </w:r>
    </w:p>
    <w:p>
      <w:pPr>
        <w:spacing w:after="80"/>
        <w:ind w:left="360" w:hanging="360"/>
        <w:jc w:val="both"/>
      </w:pPr>
      <w:r>
        <w:rPr>
          <w:rFonts w:ascii="Times New Roman" w:hAnsi="Times New Roman"/>
          <w:b/>
          <w:sz w:val="18"/>
        </w:rPr>
        <w:t xml:space="preserve">[11] </w:t>
      </w:r>
      <w:r>
        <w:rPr>
          <w:rFonts w:ascii="Times New Roman" w:hAnsi="Times New Roman"/>
          <w:sz w:val="18"/>
        </w:rPr>
        <w:t>Luisa Bortesi, Rainer Fischer, "The CRISPR/Cas9 system for plant genome editing and beyond," Technical Report / Publication, 2014. [Online]. Available: https://doi.org/10.1016/j.biotechadv.2014.12.006</w:t>
      </w:r>
    </w:p>
    <w:p>
      <w:pPr>
        <w:spacing w:after="80"/>
        <w:ind w:left="360" w:hanging="360"/>
        <w:jc w:val="both"/>
      </w:pPr>
      <w:r>
        <w:rPr>
          <w:rFonts w:ascii="Times New Roman" w:hAnsi="Times New Roman"/>
          <w:b/>
          <w:sz w:val="18"/>
        </w:rPr>
        <w:t xml:space="preserve">[12] </w:t>
      </w:r>
      <w:r>
        <w:rPr>
          <w:rFonts w:ascii="Times New Roman" w:hAnsi="Times New Roman"/>
          <w:sz w:val="18"/>
        </w:rPr>
        <w:t>Du W, Zhang T, Guo L, Zheng Y, "Deep learning-driven prediction of on-target activity, off-target risk, and repair outcomes in CRISPR/Cas9: current landscape and multi-scale perspectives," Technical Report / Publication, 2026. [Online]. Available: https://doi.org/10.1186/s12967-026-08175-1</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cae387e7-7d00-4bcc-8aee-0ae1978279c3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