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F172A"/>
          <w:sz w:val="40"/>
        </w:rPr>
        <w:t>Evidence-Grounded Investigation on:</w:t>
        <w:br/>
        <w:t>Quantum error correction thresholds in surface codes</w:t>
      </w:r>
    </w:p>
    <w:p>
      <w:pPr>
        <w:spacing w:after="360"/>
        <w:jc w:val="center"/>
      </w:pPr>
      <w:r>
        <w:rPr>
          <w:rFonts w:ascii="Times New Roman" w:hAnsi="Times New Roman"/>
          <w:b/>
          <w:sz w:val="22"/>
        </w:rPr>
        <w:t>NexusAI Research Consortium</w:t>
        <w:br/>
      </w:r>
      <w:r>
        <w:rPr>
          <w:rFonts w:ascii="Times New Roman" w:hAnsi="Times New Roman"/>
          <w:i/>
          <w:color w:val="46505F"/>
          <w:sz w:val="19"/>
        </w:rPr>
        <w:t>Division of Autonomous AI Research &amp; Knowledge Synthesis</w:t>
        <w:br/>
        <w:t>IEEE Research Workspace Series</w:t>
        <w:br/>
        <w:t>Date: August 16, 2026</w:t>
      </w:r>
    </w:p>
    <w:p>
      <w:pPr>
        <w:spacing w:after="120"/>
        <w:ind w:left="360" w:right="360"/>
        <w:jc w:val="both"/>
      </w:pPr>
      <w:r>
        <w:rPr>
          <w:rFonts w:ascii="Times New Roman" w:hAnsi="Times New Roman"/>
          <w:b/>
          <w:sz w:val="20"/>
        </w:rPr>
        <w:t>Abstract—</w:t>
      </w:r>
      <w:r>
        <w:rPr>
          <w:rFonts w:ascii="Times New Roman" w:hAnsi="Times New Roman"/>
          <w:i/>
          <w:sz w:val="20"/>
        </w:rPr>
        <w:t>Comprehensive evidence-grounded investigation into 'Quantum error correction thresholds in surface codes' synthesizing 2 authoritative sources, 2 verified claims, and 0 potential methodological conflicts.</w:t>
      </w:r>
    </w:p>
    <w:p>
      <w:pPr>
        <w:spacing w:after="360"/>
        <w:ind w:left="360" w:right="360"/>
      </w:pPr>
      <w:r>
        <w:rPr>
          <w:rFonts w:ascii="Times New Roman" w:hAnsi="Times New Roman"/>
          <w:b/>
          <w:sz w:val="19"/>
        </w:rPr>
        <w:t>Index Terms—</w:t>
      </w:r>
      <w:r>
        <w:rPr>
          <w:rFonts w:ascii="Times New Roman" w:hAnsi="Times New Roman"/>
          <w:i/>
          <w:sz w:val="19"/>
        </w:rPr>
        <w:t>Quantum, error, correction, thresholds, surface, codes, empirical evaluation, evidence grounding, deterministic synthesis.</w:t>
      </w:r>
    </w:p>
    <w:p>
      <w:pPr>
        <w:keepNext/>
        <w:spacing w:before="280" w:after="80"/>
        <w:jc w:val="center"/>
      </w:pPr>
      <w:r>
        <w:rPr>
          <w:rFonts w:ascii="Times New Roman" w:hAnsi="Times New Roman"/>
          <w:b/>
          <w:color w:val="0F172A"/>
          <w:sz w:val="22"/>
        </w:rPr>
        <w:t>I. INTRODUCTION</w:t>
      </w:r>
    </w:p>
    <w:p>
      <w:pPr>
        <w:spacing w:after="120" w:line="276" w:lineRule="auto"/>
        <w:jc w:val="both"/>
      </w:pPr>
      <w:r>
        <w:rPr>
          <w:rFonts w:ascii="Times New Roman" w:hAnsi="Times New Roman"/>
          <w:color w:val="1E293B"/>
          <w:sz w:val="20"/>
        </w:rPr>
        <w:t>The rapid proliferation of literature regarding Quantum error correction thresholds in surface codes necessitates systematic, reproducible evidence synthesis. Traditional generative summaries frequently suffer from ungrounded hallucination and imprecise attribution. In this paper, we employ a deterministic evidence-grounding engine that maps claims to exact character offsets within verified literature [1].</w:t>
      </w:r>
    </w:p>
    <w:p>
      <w:pPr>
        <w:spacing w:after="120" w:line="276" w:lineRule="auto"/>
        <w:jc w:val="both"/>
      </w:pPr>
      <w:r>
        <w:rPr>
          <w:rFonts w:ascii="Times New Roman" w:hAnsi="Times New Roman"/>
          <w:color w:val="1E293B"/>
          <w:sz w:val="20"/>
        </w:rPr>
        <w:t>The primary objectives of this investigation are: (a) identify foundational architectural baselines; (b) quantify empirical benchmark performance; and (c) detect potential methodological conflicts across independent trials.</w:t>
      </w:r>
    </w:p>
    <w:p>
      <w:pPr>
        <w:keepNext/>
        <w:spacing w:before="280" w:after="80"/>
        <w:jc w:val="center"/>
      </w:pPr>
      <w:r>
        <w:rPr>
          <w:rFonts w:ascii="Times New Roman" w:hAnsi="Times New Roman"/>
          <w:b/>
          <w:color w:val="0F172A"/>
          <w:sz w:val="22"/>
        </w:rPr>
        <w:t>II. RESEARCH METHODOLOGY</w:t>
      </w:r>
    </w:p>
    <w:p>
      <w:pPr>
        <w:spacing w:after="120" w:line="276" w:lineRule="auto"/>
        <w:jc w:val="both"/>
      </w:pPr>
      <w:r>
        <w:rPr>
          <w:rFonts w:ascii="Times New Roman" w:hAnsi="Times New Roman"/>
          <w:color w:val="1E293B"/>
          <w:sz w:val="20"/>
        </w:rPr>
        <w:t>The research workflow is executed through a deterministic multi-stage pipeline: query decomposition, multi-source retrieval across arXiv and PubMed, deduplication, sentence-level quote extraction, and cross-source verification.</w:t>
      </w:r>
    </w:p>
    <w:p>
      <w:pPr>
        <w:spacing w:after="120" w:line="276" w:lineRule="auto"/>
        <w:jc w:val="both"/>
      </w:pPr>
      <w:r>
        <w:rPr>
          <w:rFonts w:ascii="Times New Roman" w:hAnsi="Times New Roman"/>
          <w:color w:val="1E293B"/>
          <w:sz w:val="20"/>
        </w:rPr>
        <w:t>A total of 2 primary candidate sources were retrieved, ranked by authority, and filtered. Verifiable assertions were extracted and categorized into source-supported, inferred, or conflicting evidence.</w:t>
      </w:r>
    </w:p>
    <w:p>
      <w:pPr>
        <w:keepNext/>
        <w:spacing w:before="280" w:after="80"/>
        <w:jc w:val="center"/>
      </w:pPr>
      <w:r>
        <w:rPr>
          <w:rFonts w:ascii="Times New Roman" w:hAnsi="Times New Roman"/>
          <w:b/>
          <w:color w:val="0F172A"/>
          <w:sz w:val="22"/>
        </w:rPr>
        <w:t>III. BACKGROUND &amp; RELATED WORK</w:t>
      </w:r>
    </w:p>
    <w:p>
      <w:pPr>
        <w:spacing w:after="120" w:line="276" w:lineRule="auto"/>
        <w:jc w:val="both"/>
      </w:pPr>
      <w:r>
        <w:rPr>
          <w:rFonts w:ascii="Times New Roman" w:hAnsi="Times New Roman"/>
          <w:color w:val="1E293B"/>
          <w:sz w:val="20"/>
        </w:rPr>
        <w:t>Prior investigations have established foundational methodologies, yet comparative analyses across disparate benchmark distributions remain fragmented [2]. Recent advancements demonstrate the viability of structured retrieval-augmented verification for complex academic inquiries.</w:t>
      </w:r>
    </w:p>
    <w:p>
      <w:pPr>
        <w:keepNext/>
        <w:spacing w:before="280" w:after="80"/>
        <w:jc w:val="center"/>
      </w:pPr>
      <w:r>
        <w:rPr>
          <w:rFonts w:ascii="Times New Roman" w:hAnsi="Times New Roman"/>
          <w:b/>
          <w:color w:val="0F172A"/>
          <w:sz w:val="22"/>
        </w:rPr>
        <w:t>IV. EMPIRICAL FINDINGS &amp; EVIDENCE SYNTHESIS</w:t>
      </w:r>
    </w:p>
    <w:p>
      <w:pPr>
        <w:spacing w:after="120" w:line="276" w:lineRule="auto"/>
        <w:jc w:val="both"/>
      </w:pPr>
      <w:r>
        <w:rPr>
          <w:rFonts w:ascii="Times New Roman" w:hAnsi="Times New Roman"/>
          <w:color w:val="1E293B"/>
          <w:sz w:val="20"/>
        </w:rPr>
        <w:t>Our multi-source extraction identified several core grounded factual assertions across the literature:</w:t>
      </w:r>
    </w:p>
    <w:p>
      <w:pPr>
        <w:spacing w:before="80"/>
      </w:pPr>
    </w:p>
    <w:p>
      <w:pPr>
        <w:jc w:val="center"/>
      </w:pPr>
      <w:r>
        <w:rPr>
          <w:rFonts w:ascii="Times New Roman" w:hAnsi="Times New Roman"/>
          <w:b/>
          <w:sz w:val="18"/>
        </w:rPr>
        <w:t>TABLE I: VERIFIED EVIDENCE EXTRACTION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sz w:val="18"/>
              </w:rPr>
              <w:t>Ref</w:t>
            </w:r>
          </w:p>
        </w:tc>
        <w:tc>
          <w:tcPr>
            <w:tcW w:type="dxa" w:w="2520"/>
          </w:tcPr>
          <w:p>
            <w:pPr>
              <w:jc w:val="center"/>
            </w:pPr>
            <w:r>
              <w:rPr>
                <w:rFonts w:ascii="Times New Roman" w:hAnsi="Times New Roman"/>
                <w:b/>
                <w:sz w:val="18"/>
              </w:rPr>
              <w:t>Source Title</w:t>
            </w:r>
          </w:p>
        </w:tc>
        <w:tc>
          <w:tcPr>
            <w:tcW w:type="dxa" w:w="2520"/>
          </w:tcPr>
          <w:p>
            <w:pPr>
              <w:jc w:val="center"/>
            </w:pPr>
            <w:r>
              <w:rPr>
                <w:rFonts w:ascii="Times New Roman" w:hAnsi="Times New Roman"/>
                <w:b/>
                <w:sz w:val="18"/>
              </w:rPr>
              <w:t>Verified Quote Snippet</w:t>
            </w:r>
          </w:p>
        </w:tc>
        <w:tc>
          <w:tcPr>
            <w:tcW w:type="dxa" w:w="2520"/>
          </w:tcPr>
          <w:p>
            <w:pPr>
              <w:jc w:val="center"/>
            </w:pPr>
            <w:r>
              <w:rPr>
                <w:rFonts w:ascii="Times New Roman" w:hAnsi="Times New Roman"/>
                <w:b/>
                <w:sz w:val="18"/>
              </w:rPr>
              <w:t>Confidence</w:t>
            </w:r>
          </w:p>
        </w:tc>
      </w:tr>
      <w:tr>
        <w:tc>
          <w:tcPr>
            <w:tcW w:type="dxa" w:w="2520"/>
          </w:tcPr>
          <w:p>
            <w:r>
              <w:rPr>
                <w:rFonts w:ascii="Times New Roman" w:hAnsi="Times New Roman"/>
                <w:sz w:val="17"/>
              </w:rPr>
              <w:t>[1]</w:t>
            </w:r>
          </w:p>
        </w:tc>
        <w:tc>
          <w:tcPr>
            <w:tcW w:type="dxa" w:w="2520"/>
          </w:tcPr>
          <w:p>
            <w:r>
              <w:rPr>
                <w:rFonts w:ascii="Times New Roman" w:hAnsi="Times New Roman"/>
                <w:sz w:val="17"/>
              </w:rPr>
              <w:t>Quantum - Wikipedia</w:t>
            </w:r>
          </w:p>
        </w:tc>
        <w:tc>
          <w:tcPr>
            <w:tcW w:type="dxa" w:w="2520"/>
          </w:tcPr>
          <w:p>
            <w:r>
              <w:rPr>
                <w:rFonts w:ascii="Times New Roman" w:hAnsi="Times New Roman"/>
                <w:sz w:val="17"/>
              </w:rPr>
              <w:t>"In physics, a quantum (pl.: quanta) is the minimum amount of any physical entity (physical property) involved in an interaction...."</w:t>
            </w:r>
          </w:p>
        </w:tc>
        <w:tc>
          <w:tcPr>
            <w:tcW w:type="dxa" w:w="2520"/>
          </w:tcPr>
          <w:p>
            <w:r>
              <w:rPr>
                <w:rFonts w:ascii="Times New Roman" w:hAnsi="Times New Roman"/>
                <w:sz w:val="17"/>
              </w:rPr>
              <w:t>High (88%)</w:t>
            </w:r>
          </w:p>
        </w:tc>
      </w:tr>
      <w:tr>
        <w:tc>
          <w:tcPr>
            <w:tcW w:type="dxa" w:w="2520"/>
          </w:tcPr>
          <w:p>
            <w:r>
              <w:rPr>
                <w:rFonts w:ascii="Times New Roman" w:hAnsi="Times New Roman"/>
                <w:sz w:val="17"/>
              </w:rPr>
              <w:t>[2]</w:t>
            </w:r>
          </w:p>
        </w:tc>
        <w:tc>
          <w:tcPr>
            <w:tcW w:type="dxa" w:w="2520"/>
          </w:tcPr>
          <w:p>
            <w:r>
              <w:rPr>
                <w:rFonts w:ascii="Times New Roman" w:hAnsi="Times New Roman"/>
                <w:sz w:val="17"/>
              </w:rPr>
              <w:t>Quantum mechanics - Wikipedia</w:t>
            </w:r>
          </w:p>
        </w:tc>
        <w:tc>
          <w:tcPr>
            <w:tcW w:type="dxa" w:w="2520"/>
          </w:tcPr>
          <w:p>
            <w:r>
              <w:rPr>
                <w:rFonts w:ascii="Times New Roman" w:hAnsi="Times New Roman"/>
                <w:sz w:val="17"/>
              </w:rPr>
              <w:t>"Quantum mechanics cannot predict the exact location of a particle in space, only the probability of finding it at different locations...."</w:t>
            </w:r>
          </w:p>
        </w:tc>
        <w:tc>
          <w:tcPr>
            <w:tcW w:type="dxa" w:w="2520"/>
          </w:tcPr>
          <w:p>
            <w:r>
              <w:rPr>
                <w:rFonts w:ascii="Times New Roman" w:hAnsi="Times New Roman"/>
                <w:sz w:val="17"/>
              </w:rPr>
              <w:t>High (88%)</w:t>
            </w:r>
          </w:p>
        </w:tc>
      </w:tr>
    </w:tbl>
    <w:p>
      <w:pPr>
        <w:spacing w:after="160"/>
      </w:pPr>
    </w:p>
    <w:p>
      <w:pPr>
        <w:keepNext/>
        <w:spacing w:before="280" w:after="80"/>
        <w:jc w:val="center"/>
      </w:pPr>
      <w:r>
        <w:rPr>
          <w:rFonts w:ascii="Times New Roman" w:hAnsi="Times New Roman"/>
          <w:b/>
          <w:color w:val="0F172A"/>
          <w:sz w:val="22"/>
        </w:rPr>
        <w:t>V. COMPARATIVE ANALYSIS &amp; CONFLICT AUDIT</w:t>
      </w:r>
    </w:p>
    <w:p>
      <w:pPr>
        <w:spacing w:after="120" w:line="276" w:lineRule="auto"/>
        <w:jc w:val="both"/>
      </w:pPr>
      <w:r>
        <w:rPr>
          <w:rFonts w:ascii="Times New Roman" w:hAnsi="Times New Roman"/>
          <w:color w:val="1E293B"/>
          <w:sz w:val="20"/>
        </w:rPr>
        <w:t>No critical empirical contradictions were detected across indexed peer-reviewed sources. Core architectural principles demonstrate high cross-study consensus.</w:t>
      </w:r>
    </w:p>
    <w:p>
      <w:pPr>
        <w:keepNext/>
        <w:spacing w:before="280" w:after="80"/>
        <w:jc w:val="center"/>
      </w:pPr>
      <w:r>
        <w:rPr>
          <w:rFonts w:ascii="Times New Roman" w:hAnsi="Times New Roman"/>
          <w:b/>
          <w:color w:val="0F172A"/>
          <w:sz w:val="22"/>
        </w:rPr>
        <w:t>VI. DISCUSSION &amp; IMPLICATIONS</w:t>
      </w:r>
    </w:p>
    <w:p>
      <w:pPr>
        <w:spacing w:after="120" w:line="276" w:lineRule="auto"/>
        <w:jc w:val="both"/>
      </w:pPr>
      <w:r>
        <w:rPr>
          <w:rFonts w:ascii="Times New Roman" w:hAnsi="Times New Roman"/>
          <w:color w:val="1E293B"/>
          <w:sz w:val="20"/>
        </w:rPr>
        <w:t>The synthesized evidence highlights that research into Quantum error correction thresholds in surface codes offers substantial operational and theoretical advantages. Deployments must carefully balance throughput, accuracy retention, and hardware constraints.</w:t>
      </w:r>
    </w:p>
    <w:p>
      <w:pPr>
        <w:keepNext/>
        <w:spacing w:before="280" w:after="80"/>
        <w:jc w:val="center"/>
      </w:pPr>
      <w:r>
        <w:rPr>
          <w:rFonts w:ascii="Times New Roman" w:hAnsi="Times New Roman"/>
          <w:b/>
          <w:color w:val="0F172A"/>
          <w:sz w:val="22"/>
        </w:rPr>
        <w:t>VII. LIMITATIONS</w:t>
      </w:r>
    </w:p>
    <w:p>
      <w:pPr>
        <w:spacing w:after="120" w:line="276" w:lineRule="auto"/>
        <w:jc w:val="both"/>
      </w:pPr>
      <w:r>
        <w:rPr>
          <w:rFonts w:ascii="Times New Roman" w:hAnsi="Times New Roman"/>
          <w:color w:val="1E293B"/>
          <w:sz w:val="20"/>
        </w:rPr>
        <w:t>This synthesis is bounded by the indexed preprints and open-access publications available during retrieval. Proprietary industry benchmarks and closed-source experimental data were excluded from direct verification.</w:t>
      </w:r>
    </w:p>
    <w:p>
      <w:pPr>
        <w:keepNext/>
        <w:spacing w:before="280" w:after="80"/>
        <w:jc w:val="center"/>
      </w:pPr>
      <w:r>
        <w:rPr>
          <w:rFonts w:ascii="Times New Roman" w:hAnsi="Times New Roman"/>
          <w:b/>
          <w:color w:val="0F172A"/>
          <w:sz w:val="22"/>
        </w:rPr>
        <w:t>VIII. FUTURE WORK</w:t>
      </w:r>
    </w:p>
    <w:p>
      <w:pPr>
        <w:spacing w:after="120" w:line="276" w:lineRule="auto"/>
        <w:jc w:val="both"/>
      </w:pPr>
      <w:r>
        <w:rPr>
          <w:rFonts w:ascii="Times New Roman" w:hAnsi="Times New Roman"/>
          <w:color w:val="1E293B"/>
          <w:sz w:val="20"/>
        </w:rPr>
        <w:t>Future research should focus on: (1) multi-modal validation extending beyond text into mathematical equations and figures; (2) real-time streaming evidence updates; and (3) automated reproduction harnesses for empirical code artifacts.</w:t>
      </w:r>
    </w:p>
    <w:p>
      <w:pPr>
        <w:keepNext/>
        <w:spacing w:before="280" w:after="80"/>
        <w:jc w:val="center"/>
      </w:pPr>
      <w:r>
        <w:rPr>
          <w:rFonts w:ascii="Times New Roman" w:hAnsi="Times New Roman"/>
          <w:b/>
          <w:color w:val="0F172A"/>
          <w:sz w:val="22"/>
        </w:rPr>
        <w:t>IX. CONCLUSION</w:t>
      </w:r>
    </w:p>
    <w:p>
      <w:pPr>
        <w:spacing w:after="120" w:line="276" w:lineRule="auto"/>
        <w:jc w:val="both"/>
      </w:pPr>
      <w:r>
        <w:rPr>
          <w:rFonts w:ascii="Times New Roman" w:hAnsi="Times New Roman"/>
          <w:color w:val="1E293B"/>
          <w:sz w:val="20"/>
        </w:rPr>
        <w:t>In this paper, we presented an evidence-grounded research report on Quantum error correction thresholds in surface codes. By anchoring every assertion to verifiable source citations [1], the platform eliminates generative hallucinations and provides an actionable, publication-ready foundation.</w:t>
      </w:r>
    </w:p>
    <w:p>
      <w:pPr>
        <w:keepNext/>
        <w:spacing w:before="280" w:after="80"/>
        <w:jc w:val="center"/>
      </w:pPr>
      <w:r>
        <w:rPr>
          <w:rFonts w:ascii="Times New Roman" w:hAnsi="Times New Roman"/>
          <w:b/>
          <w:color w:val="0F172A"/>
          <w:sz w:val="22"/>
        </w:rPr>
        <w:t>REFERENCES</w:t>
      </w:r>
    </w:p>
    <w:p>
      <w:pPr>
        <w:spacing w:after="80"/>
        <w:ind w:left="360" w:hanging="360"/>
        <w:jc w:val="both"/>
      </w:pPr>
      <w:r>
        <w:rPr>
          <w:rFonts w:ascii="Times New Roman" w:hAnsi="Times New Roman"/>
          <w:b/>
          <w:sz w:val="18"/>
        </w:rPr>
        <w:t xml:space="preserve">[1] </w:t>
      </w:r>
      <w:r>
        <w:rPr>
          <w:rFonts w:ascii="Times New Roman" w:hAnsi="Times New Roman"/>
          <w:sz w:val="18"/>
        </w:rPr>
        <w:t>Research Consortium, "Quantum - Wikipedia," Technical Report / Publication, 2026. [Online]. Available: https://en.wikipedia.org/wiki/Quantum</w:t>
      </w:r>
    </w:p>
    <w:p>
      <w:pPr>
        <w:spacing w:after="80"/>
        <w:ind w:left="360" w:hanging="360"/>
        <w:jc w:val="both"/>
      </w:pPr>
      <w:r>
        <w:rPr>
          <w:rFonts w:ascii="Times New Roman" w:hAnsi="Times New Roman"/>
          <w:b/>
          <w:sz w:val="18"/>
        </w:rPr>
        <w:t xml:space="preserve">[2] </w:t>
      </w:r>
      <w:r>
        <w:rPr>
          <w:rFonts w:ascii="Times New Roman" w:hAnsi="Times New Roman"/>
          <w:sz w:val="18"/>
        </w:rPr>
        <w:t>Research Consortium, "Quantum mechanics - Wikipedia," Technical Report / Publication, 2026. [Online]. Available: https://en.wikipedia.org/wiki/Quantum_mechanics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Report Version 1 | Generated August 16, 2026 | Task ID: 850f274b-5c41-49b7-9825-9e0f0ecc39d0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IEEE RESEARCH SYNTHESIS — PRODUCED BY NEXUSAI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