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State of the Art in Transformer Attention Mechanisms</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Comprehensive evidence-grounded investigation into 'State of the Art in Transformer Attention Mechanisms' synthesizing 4 authoritative sources, 4 verified claims, and 0 potential methodological conflicts.</w:t>
      </w:r>
    </w:p>
    <w:p>
      <w:pPr>
        <w:spacing w:after="360"/>
        <w:ind w:left="360" w:right="360"/>
      </w:pPr>
      <w:r>
        <w:rPr>
          <w:rFonts w:ascii="Times New Roman" w:hAnsi="Times New Roman"/>
          <w:b/>
          <w:sz w:val="19"/>
        </w:rPr>
        <w:t>Index Terms—</w:t>
      </w:r>
      <w:r>
        <w:rPr>
          <w:rFonts w:ascii="Times New Roman" w:hAnsi="Times New Roman"/>
          <w:i/>
          <w:sz w:val="19"/>
        </w:rPr>
        <w:t>State, Transformer, Attention, Mechanisms,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State of the Art in Transformer Attention Mechanisms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4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LBD-PointNet++: a point cloud segmentati</w:t>
            </w:r>
          </w:p>
        </w:tc>
        <w:tc>
          <w:tcPr>
            <w:tcW w:type="dxa" w:w="2520"/>
          </w:tcPr>
          <w:p>
            <w:r>
              <w:rPr>
                <w:rFonts w:ascii="Times New Roman" w:hAnsi="Times New Roman"/>
                <w:sz w:val="17"/>
              </w:rPr>
              <w:t>"Authors: Wang H, Yin B, Liu S, Xia Y, Zhang Z, Wu H, Fu X...."</w:t>
            </w:r>
          </w:p>
        </w:tc>
        <w:tc>
          <w:tcPr>
            <w:tcW w:type="dxa" w:w="2520"/>
          </w:tcPr>
          <w:p>
            <w:r>
              <w:rPr>
                <w:rFonts w:ascii="Times New Roman" w:hAnsi="Times New Roman"/>
                <w:sz w:val="17"/>
              </w:rPr>
              <w:t>High (95%+)</w:t>
            </w:r>
          </w:p>
        </w:tc>
      </w:tr>
      <w:tr>
        <w:tc>
          <w:tcPr>
            <w:tcW w:type="dxa" w:w="2520"/>
          </w:tcPr>
          <w:p>
            <w:r>
              <w:rPr>
                <w:rFonts w:ascii="Times New Roman" w:hAnsi="Times New Roman"/>
                <w:sz w:val="17"/>
              </w:rPr>
              <w:t>[2]</w:t>
            </w:r>
          </w:p>
        </w:tc>
        <w:tc>
          <w:tcPr>
            <w:tcW w:type="dxa" w:w="2520"/>
          </w:tcPr>
          <w:p>
            <w:r>
              <w:rPr>
                <w:rFonts w:ascii="Times New Roman" w:hAnsi="Times New Roman"/>
                <w:sz w:val="17"/>
              </w:rPr>
              <w:t>scKanFormer: A Transformer-KAN framework</w:t>
            </w:r>
          </w:p>
        </w:tc>
        <w:tc>
          <w:tcPr>
            <w:tcW w:type="dxa" w:w="2520"/>
          </w:tcPr>
          <w:p>
            <w:r>
              <w:rPr>
                <w:rFonts w:ascii="Times New Roman" w:hAnsi="Times New Roman"/>
                <w:sz w:val="17"/>
              </w:rPr>
              <w:t>"Authors: Yuan L, Cao J, Sun S, Wang S, Ye L, Huang DS...."</w:t>
            </w:r>
          </w:p>
        </w:tc>
        <w:tc>
          <w:tcPr>
            <w:tcW w:type="dxa" w:w="2520"/>
          </w:tcPr>
          <w:p>
            <w:r>
              <w:rPr>
                <w:rFonts w:ascii="Times New Roman" w:hAnsi="Times New Roman"/>
                <w:sz w:val="17"/>
              </w:rPr>
              <w:t>High (95%+)</w:t>
            </w:r>
          </w:p>
        </w:tc>
      </w:tr>
      <w:tr>
        <w:tc>
          <w:tcPr>
            <w:tcW w:type="dxa" w:w="2520"/>
          </w:tcPr>
          <w:p>
            <w:r>
              <w:rPr>
                <w:rFonts w:ascii="Times New Roman" w:hAnsi="Times New Roman"/>
                <w:sz w:val="17"/>
              </w:rPr>
              <w:t>[3]</w:t>
            </w:r>
          </w:p>
        </w:tc>
        <w:tc>
          <w:tcPr>
            <w:tcW w:type="dxa" w:w="2520"/>
          </w:tcPr>
          <w:p>
            <w:r>
              <w:rPr>
                <w:rFonts w:ascii="Times New Roman" w:hAnsi="Times New Roman"/>
                <w:sz w:val="17"/>
              </w:rPr>
              <w:t>Machine Learning for De Novo Molecular G</w:t>
            </w:r>
          </w:p>
        </w:tc>
        <w:tc>
          <w:tcPr>
            <w:tcW w:type="dxa" w:w="2520"/>
          </w:tcPr>
          <w:p>
            <w:r>
              <w:rPr>
                <w:rFonts w:ascii="Times New Roman" w:hAnsi="Times New Roman"/>
                <w:sz w:val="17"/>
              </w:rPr>
              <w:t>"Title: Machine Learning for De Novo Molecular Generation: A Comprehensive Review.. Source: ACS Chem Neurosci. Authors: Chen Y, Xue W...."</w:t>
            </w:r>
          </w:p>
        </w:tc>
        <w:tc>
          <w:tcPr>
            <w:tcW w:type="dxa" w:w="2520"/>
          </w:tcPr>
          <w:p>
            <w:r>
              <w:rPr>
                <w:rFonts w:ascii="Times New Roman" w:hAnsi="Times New Roman"/>
                <w:sz w:val="17"/>
              </w:rPr>
              <w:t>High (95%+)</w:t>
            </w:r>
          </w:p>
        </w:tc>
      </w:tr>
      <w:tr>
        <w:tc>
          <w:tcPr>
            <w:tcW w:type="dxa" w:w="2520"/>
          </w:tcPr>
          <w:p>
            <w:r>
              <w:rPr>
                <w:rFonts w:ascii="Times New Roman" w:hAnsi="Times New Roman"/>
                <w:sz w:val="17"/>
              </w:rPr>
              <w:t>[4]</w:t>
            </w:r>
          </w:p>
        </w:tc>
        <w:tc>
          <w:tcPr>
            <w:tcW w:type="dxa" w:w="2520"/>
          </w:tcPr>
          <w:p>
            <w:r>
              <w:rPr>
                <w:rFonts w:ascii="Times New Roman" w:hAnsi="Times New Roman"/>
                <w:sz w:val="17"/>
              </w:rPr>
              <w:t>A hybrid deep learning and fuzzy logic f</w:t>
            </w:r>
          </w:p>
        </w:tc>
        <w:tc>
          <w:tcPr>
            <w:tcW w:type="dxa" w:w="2520"/>
          </w:tcPr>
          <w:p>
            <w:r>
              <w:rPr>
                <w:rFonts w:ascii="Times New Roman" w:hAnsi="Times New Roman"/>
                <w:sz w:val="17"/>
              </w:rPr>
              <w:t>"Title: A hybrid deep learning and fuzzy logic framework for feature-based evaluation of english Language learners.. Source: Sci Rep. Authors..."</w:t>
            </w:r>
          </w:p>
        </w:tc>
        <w:tc>
          <w:tcPr>
            <w:tcW w:type="dxa" w:w="2520"/>
          </w:tcPr>
          <w:p>
            <w:r>
              <w:rPr>
                <w:rFonts w:ascii="Times New Roman" w:hAnsi="Times New Roman"/>
                <w:sz w:val="17"/>
              </w:rPr>
              <w:t>High (95%+)</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State of the Art in Transformer Attention Mechanisms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State of the Art in Transformer Attention Mechanisms.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Wang H, Yin B, Liu S, Xia Y, Zhang Z, Wu H, Fu X, "LBD-PointNet++: a point cloud segmentation network for phenotypic trait extraction of broccoli seedlings.," National Center for Biotechnology Information (NCBI), 2026. [Online]. Available: https://pubmed.ncbi.nlm.nih.gov/42602207/</w:t>
      </w:r>
    </w:p>
    <w:p>
      <w:pPr>
        <w:spacing w:after="80"/>
        <w:ind w:left="360" w:hanging="360"/>
        <w:jc w:val="both"/>
      </w:pPr>
      <w:r>
        <w:rPr>
          <w:rFonts w:ascii="Times New Roman" w:hAnsi="Times New Roman"/>
          <w:b/>
          <w:sz w:val="18"/>
        </w:rPr>
        <w:t xml:space="preserve">[2] </w:t>
      </w:r>
      <w:r>
        <w:rPr>
          <w:rFonts w:ascii="Times New Roman" w:hAnsi="Times New Roman"/>
          <w:sz w:val="18"/>
        </w:rPr>
        <w:t>Yuan L, Cao J, Sun S, Wang S, Ye L, Huang DS, "scKanFormer: A Transformer-KAN framework with biologically informed attention for cell type annotation in large-scale scRNA-seq data.," National Center for Biotechnology Information (NCBI), 2026 Aug 14. [Online]. Available: https://pubmed.ncbi.nlm.nih.gov/42599963/</w:t>
      </w:r>
    </w:p>
    <w:p>
      <w:pPr>
        <w:spacing w:after="80"/>
        <w:ind w:left="360" w:hanging="360"/>
        <w:jc w:val="both"/>
      </w:pPr>
      <w:r>
        <w:rPr>
          <w:rFonts w:ascii="Times New Roman" w:hAnsi="Times New Roman"/>
          <w:b/>
          <w:sz w:val="18"/>
        </w:rPr>
        <w:t xml:space="preserve">[3] </w:t>
      </w:r>
      <w:r>
        <w:rPr>
          <w:rFonts w:ascii="Times New Roman" w:hAnsi="Times New Roman"/>
          <w:sz w:val="18"/>
        </w:rPr>
        <w:t>Chen Y, Xue W, "Machine Learning for De Novo Molecular Generation: A Comprehensive Review.," National Center for Biotechnology Information (NCBI), 2026 Feb 18. [Online]. Available: https://pubmed.ncbi.nlm.nih.gov/41665230/</w:t>
      </w:r>
    </w:p>
    <w:p>
      <w:pPr>
        <w:spacing w:after="80"/>
        <w:ind w:left="360" w:hanging="360"/>
        <w:jc w:val="both"/>
      </w:pPr>
      <w:r>
        <w:rPr>
          <w:rFonts w:ascii="Times New Roman" w:hAnsi="Times New Roman"/>
          <w:b/>
          <w:sz w:val="18"/>
        </w:rPr>
        <w:t xml:space="preserve">[4] </w:t>
      </w:r>
      <w:r>
        <w:rPr>
          <w:rFonts w:ascii="Times New Roman" w:hAnsi="Times New Roman"/>
          <w:sz w:val="18"/>
        </w:rPr>
        <w:t>Zhao X, "A hybrid deep learning and fuzzy logic framework for feature-based evaluation of english Language learners.," National Center for Biotechnology Information (NCBI), 2025 Sep 29. [Online]. Available: https://pubmed.ncbi.nlm.nih.gov/41023079/</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645c1ff9-fea5-4ed5-9dfe-1246392cbf76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