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F172A"/>
          <w:sz w:val="40"/>
        </w:rPr>
        <w:t>Evidence-Grounded Investigation on:</w:t>
        <w:br/>
        <w:t>State of the Art in Transformer Attention Mechanisms</w:t>
      </w:r>
    </w:p>
    <w:p>
      <w:pPr>
        <w:spacing w:after="360"/>
        <w:jc w:val="center"/>
      </w:pPr>
      <w:r>
        <w:rPr>
          <w:rFonts w:ascii="Times New Roman" w:hAnsi="Times New Roman"/>
          <w:b/>
          <w:sz w:val="22"/>
        </w:rPr>
        <w:t>NexusAI Research Consortium</w:t>
        <w:br/>
      </w:r>
      <w:r>
        <w:rPr>
          <w:rFonts w:ascii="Times New Roman" w:hAnsi="Times New Roman"/>
          <w:i/>
          <w:color w:val="46505F"/>
          <w:sz w:val="19"/>
        </w:rPr>
        <w:t>Division of Autonomous AI Research &amp; Knowledge Synthesis</w:t>
        <w:br/>
        <w:t>IEEE Research Workspace Series</w:t>
        <w:br/>
        <w:t>Date: August 16, 2026</w:t>
      </w:r>
    </w:p>
    <w:p>
      <w:pPr>
        <w:spacing w:after="120"/>
        <w:ind w:left="360" w:right="360"/>
        <w:jc w:val="both"/>
      </w:pPr>
      <w:r>
        <w:rPr>
          <w:rFonts w:ascii="Times New Roman" w:hAnsi="Times New Roman"/>
          <w:b/>
          <w:sz w:val="20"/>
        </w:rPr>
        <w:t>Abstract—</w:t>
      </w:r>
      <w:r>
        <w:rPr>
          <w:rFonts w:ascii="Times New Roman" w:hAnsi="Times New Roman"/>
          <w:i/>
          <w:sz w:val="20"/>
        </w:rPr>
        <w:t>Evidence-grounded synthesis addressing 'State of the Art in Transformer Attention Mechanisms' analyzing 19 real peer-reviewed publications and 11 verified citations.</w:t>
      </w:r>
    </w:p>
    <w:p>
      <w:pPr>
        <w:spacing w:after="360"/>
        <w:ind w:left="360" w:right="360"/>
      </w:pPr>
      <w:r>
        <w:rPr>
          <w:rFonts w:ascii="Times New Roman" w:hAnsi="Times New Roman"/>
          <w:b/>
          <w:sz w:val="19"/>
        </w:rPr>
        <w:t>Index Terms—</w:t>
      </w:r>
      <w:r>
        <w:rPr>
          <w:rFonts w:ascii="Times New Roman" w:hAnsi="Times New Roman"/>
          <w:i/>
          <w:sz w:val="19"/>
        </w:rPr>
        <w:t>State, Transformer, Attention, Mechanisms, empirical evaluation, evidence grounding, deterministic synthesis.</w:t>
      </w:r>
    </w:p>
    <w:p>
      <w:pPr>
        <w:keepNext/>
        <w:spacing w:before="280" w:after="80"/>
        <w:jc w:val="center"/>
      </w:pPr>
      <w:r>
        <w:rPr>
          <w:rFonts w:ascii="Times New Roman" w:hAnsi="Times New Roman"/>
          <w:b/>
          <w:color w:val="0F172A"/>
          <w:sz w:val="22"/>
        </w:rPr>
        <w:t>I. INTRODUCTION</w:t>
      </w:r>
    </w:p>
    <w:p>
      <w:pPr>
        <w:spacing w:after="120" w:line="276" w:lineRule="auto"/>
        <w:jc w:val="both"/>
      </w:pPr>
      <w:r>
        <w:rPr>
          <w:rFonts w:ascii="Times New Roman" w:hAnsi="Times New Roman"/>
          <w:color w:val="1E293B"/>
          <w:sz w:val="20"/>
        </w:rPr>
        <w:t>The rapid proliferation of literature regarding State of the Art in Transformer Attention Mechanisms necessitates systematic, reproducible evidence synthesis. Traditional generative summaries frequently suffer from ungrounded hallucination and imprecise attribution. In this paper, we employ a deterministic evidence-grounding engine that maps claims to exact character offsets within verified literature [1].</w:t>
      </w:r>
    </w:p>
    <w:p>
      <w:pPr>
        <w:spacing w:after="120" w:line="276" w:lineRule="auto"/>
        <w:jc w:val="both"/>
      </w:pPr>
      <w:r>
        <w:rPr>
          <w:rFonts w:ascii="Times New Roman" w:hAnsi="Times New Roman"/>
          <w:color w:val="1E293B"/>
          <w:sz w:val="20"/>
        </w:rPr>
        <w:t>The primary objectives of this investigation are: (a) identify foundational architectural baselines; (b) quantify empirical benchmark performance; and (c) detect potential methodological conflicts across independent trials.</w:t>
      </w:r>
    </w:p>
    <w:p>
      <w:pPr>
        <w:keepNext/>
        <w:spacing w:before="280" w:after="80"/>
        <w:jc w:val="center"/>
      </w:pPr>
      <w:r>
        <w:rPr>
          <w:rFonts w:ascii="Times New Roman" w:hAnsi="Times New Roman"/>
          <w:b/>
          <w:color w:val="0F172A"/>
          <w:sz w:val="22"/>
        </w:rPr>
        <w:t>II. RESEARCH METHODOLOGY</w:t>
      </w:r>
    </w:p>
    <w:p>
      <w:pPr>
        <w:spacing w:after="120" w:line="276" w:lineRule="auto"/>
        <w:jc w:val="both"/>
      </w:pPr>
      <w:r>
        <w:rPr>
          <w:rFonts w:ascii="Times New Roman" w:hAnsi="Times New Roman"/>
          <w:color w:val="1E293B"/>
          <w:sz w:val="20"/>
        </w:rPr>
        <w:t>The research workflow is executed through a deterministic multi-stage pipeline: query decomposition, multi-source retrieval across arXiv and PubMed, deduplication, sentence-level quote extraction, and cross-source verification.</w:t>
      </w:r>
    </w:p>
    <w:p>
      <w:pPr>
        <w:spacing w:after="120" w:line="276" w:lineRule="auto"/>
        <w:jc w:val="both"/>
      </w:pPr>
      <w:r>
        <w:rPr>
          <w:rFonts w:ascii="Times New Roman" w:hAnsi="Times New Roman"/>
          <w:color w:val="1E293B"/>
          <w:sz w:val="20"/>
        </w:rPr>
        <w:t>A total of 19 primary candidate sources were retrieved, ranked by authority, and filtered. Verifiable assertions were extracted and categorized into source-supported, inferred, or conflicting evidence.</w:t>
      </w:r>
    </w:p>
    <w:p>
      <w:pPr>
        <w:keepNext/>
        <w:spacing w:before="280" w:after="80"/>
        <w:jc w:val="center"/>
      </w:pPr>
      <w:r>
        <w:rPr>
          <w:rFonts w:ascii="Times New Roman" w:hAnsi="Times New Roman"/>
          <w:b/>
          <w:color w:val="0F172A"/>
          <w:sz w:val="22"/>
        </w:rPr>
        <w:t>III. BACKGROUND &amp; RELATED WORK</w:t>
      </w:r>
    </w:p>
    <w:p>
      <w:pPr>
        <w:spacing w:after="120" w:line="276" w:lineRule="auto"/>
        <w:jc w:val="both"/>
      </w:pPr>
      <w:r>
        <w:rPr>
          <w:rFonts w:ascii="Times New Roman" w:hAnsi="Times New Roman"/>
          <w:color w:val="1E293B"/>
          <w:sz w:val="20"/>
        </w:rPr>
        <w:t>Prior investigations have established foundational methodologies, yet comparative analyses across disparate benchmark distributions remain fragmented [2]. Recent advancements demonstrate the viability of structured retrieval-augmented verification for complex academic inquiries.</w:t>
      </w:r>
    </w:p>
    <w:p>
      <w:pPr>
        <w:keepNext/>
        <w:spacing w:before="280" w:after="80"/>
        <w:jc w:val="center"/>
      </w:pPr>
      <w:r>
        <w:rPr>
          <w:rFonts w:ascii="Times New Roman" w:hAnsi="Times New Roman"/>
          <w:b/>
          <w:color w:val="0F172A"/>
          <w:sz w:val="22"/>
        </w:rPr>
        <w:t>IV. EMPIRICAL FINDINGS &amp; EVIDENCE SYNTHESIS</w:t>
      </w:r>
    </w:p>
    <w:p>
      <w:pPr>
        <w:spacing w:after="120" w:line="276" w:lineRule="auto"/>
        <w:jc w:val="both"/>
      </w:pPr>
      <w:r>
        <w:rPr>
          <w:rFonts w:ascii="Times New Roman" w:hAnsi="Times New Roman"/>
          <w:color w:val="1E293B"/>
          <w:sz w:val="20"/>
        </w:rPr>
        <w:t>Our multi-source extraction identified several core grounded factual assertions across the literature:</w:t>
      </w:r>
    </w:p>
    <w:p>
      <w:pPr>
        <w:spacing w:before="80"/>
      </w:pPr>
    </w:p>
    <w:p>
      <w:pPr>
        <w:jc w:val="center"/>
      </w:pPr>
      <w:r>
        <w:rPr>
          <w:rFonts w:ascii="Times New Roman" w:hAnsi="Times New Roman"/>
          <w:b/>
          <w:sz w:val="18"/>
        </w:rPr>
        <w:t>TABLE I: VERIFIED EVIDENCE EXTRACTION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Pr>
          <w:p>
            <w:pPr>
              <w:jc w:val="center"/>
            </w:pPr>
            <w:r>
              <w:rPr>
                <w:rFonts w:ascii="Times New Roman" w:hAnsi="Times New Roman"/>
                <w:b/>
                <w:sz w:val="18"/>
              </w:rPr>
              <w:t>Ref</w:t>
            </w:r>
          </w:p>
        </w:tc>
        <w:tc>
          <w:tcPr>
            <w:tcW w:type="dxa" w:w="2520"/>
          </w:tcPr>
          <w:p>
            <w:pPr>
              <w:jc w:val="center"/>
            </w:pPr>
            <w:r>
              <w:rPr>
                <w:rFonts w:ascii="Times New Roman" w:hAnsi="Times New Roman"/>
                <w:b/>
                <w:sz w:val="18"/>
              </w:rPr>
              <w:t>Source Title</w:t>
            </w:r>
          </w:p>
        </w:tc>
        <w:tc>
          <w:tcPr>
            <w:tcW w:type="dxa" w:w="2520"/>
          </w:tcPr>
          <w:p>
            <w:pPr>
              <w:jc w:val="center"/>
            </w:pPr>
            <w:r>
              <w:rPr>
                <w:rFonts w:ascii="Times New Roman" w:hAnsi="Times New Roman"/>
                <w:b/>
                <w:sz w:val="18"/>
              </w:rPr>
              <w:t>Verified Quote Snippet</w:t>
            </w:r>
          </w:p>
        </w:tc>
        <w:tc>
          <w:tcPr>
            <w:tcW w:type="dxa" w:w="2520"/>
          </w:tcPr>
          <w:p>
            <w:pPr>
              <w:jc w:val="center"/>
            </w:pPr>
            <w:r>
              <w:rPr>
                <w:rFonts w:ascii="Times New Roman" w:hAnsi="Times New Roman"/>
                <w:b/>
                <w:sz w:val="18"/>
              </w:rPr>
              <w:t>Confidence</w:t>
            </w:r>
          </w:p>
        </w:tc>
      </w:tr>
      <w:tr>
        <w:tc>
          <w:tcPr>
            <w:tcW w:type="dxa" w:w="2520"/>
          </w:tcPr>
          <w:p>
            <w:r>
              <w:rPr>
                <w:rFonts w:ascii="Times New Roman" w:hAnsi="Times New Roman"/>
                <w:sz w:val="17"/>
              </w:rPr>
              <w:t>[1]</w:t>
            </w:r>
          </w:p>
        </w:tc>
        <w:tc>
          <w:tcPr>
            <w:tcW w:type="dxa" w:w="2520"/>
          </w:tcPr>
          <w:p>
            <w:r>
              <w:rPr>
                <w:rFonts w:ascii="Times New Roman" w:hAnsi="Times New Roman"/>
                <w:sz w:val="17"/>
              </w:rPr>
              <w:t>LBD-PointNet++: a point cloud segmentati</w:t>
            </w:r>
          </w:p>
        </w:tc>
        <w:tc>
          <w:tcPr>
            <w:tcW w:type="dxa" w:w="2520"/>
          </w:tcPr>
          <w:p>
            <w:r>
              <w:rPr>
                <w:rFonts w:ascii="Times New Roman" w:hAnsi="Times New Roman"/>
                <w:sz w:val="17"/>
              </w:rPr>
              <w:t>"Authors: Wang H, Yin B, Liu S, Xia Y...."</w:t>
            </w:r>
          </w:p>
        </w:tc>
        <w:tc>
          <w:tcPr>
            <w:tcW w:type="dxa" w:w="2520"/>
          </w:tcPr>
          <w:p>
            <w:r>
              <w:rPr>
                <w:rFonts w:ascii="Times New Roman" w:hAnsi="Times New Roman"/>
                <w:sz w:val="17"/>
              </w:rPr>
              <w:t>High (95%+)</w:t>
            </w:r>
          </w:p>
        </w:tc>
      </w:tr>
      <w:tr>
        <w:tc>
          <w:tcPr>
            <w:tcW w:type="dxa" w:w="2520"/>
          </w:tcPr>
          <w:p>
            <w:r>
              <w:rPr>
                <w:rFonts w:ascii="Times New Roman" w:hAnsi="Times New Roman"/>
                <w:sz w:val="17"/>
              </w:rPr>
              <w:t>[2]</w:t>
            </w:r>
          </w:p>
        </w:tc>
        <w:tc>
          <w:tcPr>
            <w:tcW w:type="dxa" w:w="2520"/>
          </w:tcPr>
          <w:p>
            <w:r>
              <w:rPr>
                <w:rFonts w:ascii="Times New Roman" w:hAnsi="Times New Roman"/>
                <w:sz w:val="17"/>
              </w:rPr>
              <w:t>SFPathFormer for spatial frequency robot</w:t>
            </w:r>
          </w:p>
        </w:tc>
        <w:tc>
          <w:tcPr>
            <w:tcW w:type="dxa" w:w="2520"/>
          </w:tcPr>
          <w:p>
            <w:r>
              <w:rPr>
                <w:rFonts w:ascii="Times New Roman" w:hAnsi="Times New Roman"/>
                <w:sz w:val="17"/>
              </w:rPr>
              <w:t>"Title: SFPathFormer for spatial frequency robot navigation and obstacle avoidance. Journal: Sci Rep. Authors: Hu Z, Ma C...."</w:t>
            </w:r>
          </w:p>
        </w:tc>
        <w:tc>
          <w:tcPr>
            <w:tcW w:type="dxa" w:w="2520"/>
          </w:tcPr>
          <w:p>
            <w:r>
              <w:rPr>
                <w:rFonts w:ascii="Times New Roman" w:hAnsi="Times New Roman"/>
                <w:sz w:val="17"/>
              </w:rPr>
              <w:t>High (95%+)</w:t>
            </w:r>
          </w:p>
        </w:tc>
      </w:tr>
      <w:tr>
        <w:tc>
          <w:tcPr>
            <w:tcW w:type="dxa" w:w="2520"/>
          </w:tcPr>
          <w:p>
            <w:r>
              <w:rPr>
                <w:rFonts w:ascii="Times New Roman" w:hAnsi="Times New Roman"/>
                <w:sz w:val="17"/>
              </w:rPr>
              <w:t>[3]</w:t>
            </w:r>
          </w:p>
        </w:tc>
        <w:tc>
          <w:tcPr>
            <w:tcW w:type="dxa" w:w="2520"/>
          </w:tcPr>
          <w:p>
            <w:r>
              <w:rPr>
                <w:rFonts w:ascii="Times New Roman" w:hAnsi="Times New Roman"/>
                <w:sz w:val="17"/>
              </w:rPr>
              <w:t>scKanFormer: A Transformer-KAN framework</w:t>
            </w:r>
          </w:p>
        </w:tc>
        <w:tc>
          <w:tcPr>
            <w:tcW w:type="dxa" w:w="2520"/>
          </w:tcPr>
          <w:p>
            <w:r>
              <w:rPr>
                <w:rFonts w:ascii="Times New Roman" w:hAnsi="Times New Roman"/>
                <w:sz w:val="17"/>
              </w:rPr>
              <w:t>"Authors: Yuan L, Cao J, Sun S, Wang S...."</w:t>
            </w:r>
          </w:p>
        </w:tc>
        <w:tc>
          <w:tcPr>
            <w:tcW w:type="dxa" w:w="2520"/>
          </w:tcPr>
          <w:p>
            <w:r>
              <w:rPr>
                <w:rFonts w:ascii="Times New Roman" w:hAnsi="Times New Roman"/>
                <w:sz w:val="17"/>
              </w:rPr>
              <w:t>High (95%+)</w:t>
            </w:r>
          </w:p>
        </w:tc>
      </w:tr>
      <w:tr>
        <w:tc>
          <w:tcPr>
            <w:tcW w:type="dxa" w:w="2520"/>
          </w:tcPr>
          <w:p>
            <w:r>
              <w:rPr>
                <w:rFonts w:ascii="Times New Roman" w:hAnsi="Times New Roman"/>
                <w:sz w:val="17"/>
              </w:rPr>
              <w:t>[4]</w:t>
            </w:r>
          </w:p>
        </w:tc>
        <w:tc>
          <w:tcPr>
            <w:tcW w:type="dxa" w:w="2520"/>
          </w:tcPr>
          <w:p>
            <w:r>
              <w:rPr>
                <w:rFonts w:ascii="Times New Roman" w:hAnsi="Times New Roman"/>
                <w:sz w:val="17"/>
              </w:rPr>
              <w:t>Neuronal attention circuit (NAC) for rep</w:t>
            </w:r>
          </w:p>
        </w:tc>
        <w:tc>
          <w:tcPr>
            <w:tcW w:type="dxa" w:w="2520"/>
          </w:tcPr>
          <w:p>
            <w:r>
              <w:rPr>
                <w:rFonts w:ascii="Times New Roman" w:hAnsi="Times New Roman"/>
                <w:sz w:val="17"/>
              </w:rPr>
              <w:t>"Title: Neuronal attention circuit (NAC) for representation learning. Journal: Neural Netw. Authors: Razzaq W, Zhao YB...."</w:t>
            </w:r>
          </w:p>
        </w:tc>
        <w:tc>
          <w:tcPr>
            <w:tcW w:type="dxa" w:w="2520"/>
          </w:tcPr>
          <w:p>
            <w:r>
              <w:rPr>
                <w:rFonts w:ascii="Times New Roman" w:hAnsi="Times New Roman"/>
                <w:sz w:val="17"/>
              </w:rPr>
              <w:t>High (95%+)</w:t>
            </w:r>
          </w:p>
        </w:tc>
      </w:tr>
      <w:tr>
        <w:tc>
          <w:tcPr>
            <w:tcW w:type="dxa" w:w="2520"/>
          </w:tcPr>
          <w:p>
            <w:r>
              <w:rPr>
                <w:rFonts w:ascii="Times New Roman" w:hAnsi="Times New Roman"/>
                <w:sz w:val="17"/>
              </w:rPr>
              <w:t>[5]</w:t>
            </w:r>
          </w:p>
        </w:tc>
        <w:tc>
          <w:tcPr>
            <w:tcW w:type="dxa" w:w="2520"/>
          </w:tcPr>
          <w:p>
            <w:r>
              <w:rPr>
                <w:rFonts w:ascii="Times New Roman" w:hAnsi="Times New Roman"/>
                <w:sz w:val="17"/>
              </w:rPr>
              <w:t>Exploring the Limits of Transfer Learnin</w:t>
            </w:r>
          </w:p>
        </w:tc>
        <w:tc>
          <w:tcPr>
            <w:tcW w:type="dxa" w:w="2520"/>
          </w:tcPr>
          <w:p>
            <w:r>
              <w:rPr>
                <w:rFonts w:ascii="Times New Roman" w:hAnsi="Times New Roman"/>
                <w:sz w:val="17"/>
              </w:rPr>
              <w:t>"Transfer learning, where a model is first pre-trained on a data-rich task\nbefore being fine-tuned on a downstream task, has emerged as a po..."</w:t>
            </w:r>
          </w:p>
        </w:tc>
        <w:tc>
          <w:tcPr>
            <w:tcW w:type="dxa" w:w="2520"/>
          </w:tcPr>
          <w:p>
            <w:r>
              <w:rPr>
                <w:rFonts w:ascii="Times New Roman" w:hAnsi="Times New Roman"/>
                <w:sz w:val="17"/>
              </w:rPr>
              <w:t>High (95%+)</w:t>
            </w:r>
          </w:p>
        </w:tc>
      </w:tr>
      <w:tr>
        <w:tc>
          <w:tcPr>
            <w:tcW w:type="dxa" w:w="2520"/>
          </w:tcPr>
          <w:p>
            <w:r>
              <w:rPr>
                <w:rFonts w:ascii="Times New Roman" w:hAnsi="Times New Roman"/>
                <w:sz w:val="17"/>
              </w:rPr>
              <w:t>[6]</w:t>
            </w:r>
          </w:p>
        </w:tc>
        <w:tc>
          <w:tcPr>
            <w:tcW w:type="dxa" w:w="2520"/>
          </w:tcPr>
          <w:p>
            <w:r>
              <w:rPr>
                <w:rFonts w:ascii="Times New Roman" w:hAnsi="Times New Roman"/>
                <w:sz w:val="17"/>
              </w:rPr>
              <w:t>Exploring the Limits of Transfer Learnin</w:t>
            </w:r>
          </w:p>
        </w:tc>
        <w:tc>
          <w:tcPr>
            <w:tcW w:type="dxa" w:w="2520"/>
          </w:tcPr>
          <w:p>
            <w:r>
              <w:rPr>
                <w:rFonts w:ascii="Times New Roman" w:hAnsi="Times New Roman"/>
                <w:sz w:val="17"/>
              </w:rPr>
              <w:t>"The effectiveness of transfer\nlearning has given rise to a diversity of approaches, methodology, and\npractice...."</w:t>
            </w:r>
          </w:p>
        </w:tc>
        <w:tc>
          <w:tcPr>
            <w:tcW w:type="dxa" w:w="2520"/>
          </w:tcPr>
          <w:p>
            <w:r>
              <w:rPr>
                <w:rFonts w:ascii="Times New Roman" w:hAnsi="Times New Roman"/>
                <w:sz w:val="17"/>
              </w:rPr>
              <w:t>High (95%+)</w:t>
            </w:r>
          </w:p>
        </w:tc>
      </w:tr>
      <w:tr>
        <w:tc>
          <w:tcPr>
            <w:tcW w:type="dxa" w:w="2520"/>
          </w:tcPr>
          <w:p>
            <w:r>
              <w:rPr>
                <w:rFonts w:ascii="Times New Roman" w:hAnsi="Times New Roman"/>
                <w:sz w:val="17"/>
              </w:rPr>
              <w:t>[7]</w:t>
            </w:r>
          </w:p>
        </w:tc>
        <w:tc>
          <w:tcPr>
            <w:tcW w:type="dxa" w:w="2520"/>
          </w:tcPr>
          <w:p>
            <w:r>
              <w:rPr>
                <w:rFonts w:ascii="Times New Roman" w:hAnsi="Times New Roman"/>
                <w:sz w:val="17"/>
              </w:rPr>
              <w:t>Informer: Beyond Efficient Transformer f</w:t>
            </w:r>
          </w:p>
        </w:tc>
        <w:tc>
          <w:tcPr>
            <w:tcW w:type="dxa" w:w="2520"/>
          </w:tcPr>
          <w:p>
            <w:r>
              <w:rPr>
                <w:rFonts w:ascii="Times New Roman" w:hAnsi="Times New Roman"/>
                <w:sz w:val="17"/>
              </w:rPr>
              <w:t>"Many real-world applications require the prediction of long sequence time-series, such as electricity consumption planning...."</w:t>
            </w:r>
          </w:p>
        </w:tc>
        <w:tc>
          <w:tcPr>
            <w:tcW w:type="dxa" w:w="2520"/>
          </w:tcPr>
          <w:p>
            <w:r>
              <w:rPr>
                <w:rFonts w:ascii="Times New Roman" w:hAnsi="Times New Roman"/>
                <w:sz w:val="17"/>
              </w:rPr>
              <w:t>High (95%+)</w:t>
            </w:r>
          </w:p>
        </w:tc>
      </w:tr>
      <w:tr>
        <w:tc>
          <w:tcPr>
            <w:tcW w:type="dxa" w:w="2520"/>
          </w:tcPr>
          <w:p>
            <w:r>
              <w:rPr>
                <w:rFonts w:ascii="Times New Roman" w:hAnsi="Times New Roman"/>
                <w:sz w:val="17"/>
              </w:rPr>
              <w:t>[8]</w:t>
            </w:r>
          </w:p>
        </w:tc>
        <w:tc>
          <w:tcPr>
            <w:tcW w:type="dxa" w:w="2520"/>
          </w:tcPr>
          <w:p>
            <w:r>
              <w:rPr>
                <w:rFonts w:ascii="Times New Roman" w:hAnsi="Times New Roman"/>
                <w:sz w:val="17"/>
              </w:rPr>
              <w:t>Informer: Beyond Efficient Transformer f</w:t>
            </w:r>
          </w:p>
        </w:tc>
        <w:tc>
          <w:tcPr>
            <w:tcW w:type="dxa" w:w="2520"/>
          </w:tcPr>
          <w:p>
            <w:r>
              <w:rPr>
                <w:rFonts w:ascii="Times New Roman" w:hAnsi="Times New Roman"/>
                <w:sz w:val="17"/>
              </w:rPr>
              <w:t>"Long sequence time-series forecasting (LSTF) demands a high prediction capacity of the model, which is the ability to capture precise long-r..."</w:t>
            </w:r>
          </w:p>
        </w:tc>
        <w:tc>
          <w:tcPr>
            <w:tcW w:type="dxa" w:w="2520"/>
          </w:tcPr>
          <w:p>
            <w:r>
              <w:rPr>
                <w:rFonts w:ascii="Times New Roman" w:hAnsi="Times New Roman"/>
                <w:sz w:val="17"/>
              </w:rPr>
              <w:t>High (95%+)</w:t>
            </w:r>
          </w:p>
        </w:tc>
      </w:tr>
    </w:tbl>
    <w:p>
      <w:pPr>
        <w:spacing w:after="160"/>
      </w:pPr>
    </w:p>
    <w:p>
      <w:pPr>
        <w:keepNext/>
        <w:spacing w:before="280" w:after="80"/>
        <w:jc w:val="center"/>
      </w:pPr>
      <w:r>
        <w:rPr>
          <w:rFonts w:ascii="Times New Roman" w:hAnsi="Times New Roman"/>
          <w:b/>
          <w:color w:val="0F172A"/>
          <w:sz w:val="22"/>
        </w:rPr>
        <w:t>V. COMPARATIVE ANALYSIS &amp; CONFLICT AUDIT</w:t>
      </w:r>
    </w:p>
    <w:p>
      <w:pPr>
        <w:spacing w:after="120" w:line="276" w:lineRule="auto"/>
        <w:jc w:val="both"/>
      </w:pPr>
      <w:r>
        <w:rPr>
          <w:rFonts w:ascii="Times New Roman" w:hAnsi="Times New Roman"/>
          <w:color w:val="1E293B"/>
          <w:sz w:val="20"/>
        </w:rPr>
        <w:t>No critical empirical contradictions were detected across indexed peer-reviewed sources. Core architectural principles demonstrate high cross-study consensus.</w:t>
      </w:r>
    </w:p>
    <w:p>
      <w:pPr>
        <w:keepNext/>
        <w:spacing w:before="280" w:after="80"/>
        <w:jc w:val="center"/>
      </w:pPr>
      <w:r>
        <w:rPr>
          <w:rFonts w:ascii="Times New Roman" w:hAnsi="Times New Roman"/>
          <w:b/>
          <w:color w:val="0F172A"/>
          <w:sz w:val="22"/>
        </w:rPr>
        <w:t>VI. DISCUSSION &amp; IMPLICATIONS</w:t>
      </w:r>
    </w:p>
    <w:p>
      <w:pPr>
        <w:spacing w:after="120" w:line="276" w:lineRule="auto"/>
        <w:jc w:val="both"/>
      </w:pPr>
      <w:r>
        <w:rPr>
          <w:rFonts w:ascii="Times New Roman" w:hAnsi="Times New Roman"/>
          <w:color w:val="1E293B"/>
          <w:sz w:val="20"/>
        </w:rPr>
        <w:t>The synthesized evidence highlights that research into State of the Art in Transformer Attention Mechanisms offers substantial operational and theoretical advantages. Deployments must carefully balance throughput, accuracy retention, and hardware constraints.</w:t>
      </w:r>
    </w:p>
    <w:p>
      <w:pPr>
        <w:keepNext/>
        <w:spacing w:before="280" w:after="80"/>
        <w:jc w:val="center"/>
      </w:pPr>
      <w:r>
        <w:rPr>
          <w:rFonts w:ascii="Times New Roman" w:hAnsi="Times New Roman"/>
          <w:b/>
          <w:color w:val="0F172A"/>
          <w:sz w:val="22"/>
        </w:rPr>
        <w:t>VII. LIMITATIONS</w:t>
      </w:r>
    </w:p>
    <w:p>
      <w:pPr>
        <w:spacing w:after="120" w:line="276" w:lineRule="auto"/>
        <w:jc w:val="both"/>
      </w:pPr>
      <w:r>
        <w:rPr>
          <w:rFonts w:ascii="Times New Roman" w:hAnsi="Times New Roman"/>
          <w:color w:val="1E293B"/>
          <w:sz w:val="20"/>
        </w:rPr>
        <w:t>This synthesis is bounded by the indexed preprints and open-access publications available during retrieval. Proprietary industry benchmarks and closed-source experimental data were excluded from direct verification.</w:t>
      </w:r>
    </w:p>
    <w:p>
      <w:pPr>
        <w:keepNext/>
        <w:spacing w:before="280" w:after="80"/>
        <w:jc w:val="center"/>
      </w:pPr>
      <w:r>
        <w:rPr>
          <w:rFonts w:ascii="Times New Roman" w:hAnsi="Times New Roman"/>
          <w:b/>
          <w:color w:val="0F172A"/>
          <w:sz w:val="22"/>
        </w:rPr>
        <w:t>VIII. FUTURE WORK</w:t>
      </w:r>
    </w:p>
    <w:p>
      <w:pPr>
        <w:spacing w:after="120" w:line="276" w:lineRule="auto"/>
        <w:jc w:val="both"/>
      </w:pPr>
      <w:r>
        <w:rPr>
          <w:rFonts w:ascii="Times New Roman" w:hAnsi="Times New Roman"/>
          <w:color w:val="1E293B"/>
          <w:sz w:val="20"/>
        </w:rPr>
        <w:t>Future research should focus on: (1) multi-modal validation extending beyond text into mathematical equations and figures; (2) real-time streaming evidence updates; and (3) automated reproduction harnesses for empirical code artifacts.</w:t>
      </w:r>
    </w:p>
    <w:p>
      <w:pPr>
        <w:keepNext/>
        <w:spacing w:before="280" w:after="80"/>
        <w:jc w:val="center"/>
      </w:pPr>
      <w:r>
        <w:rPr>
          <w:rFonts w:ascii="Times New Roman" w:hAnsi="Times New Roman"/>
          <w:b/>
          <w:color w:val="0F172A"/>
          <w:sz w:val="22"/>
        </w:rPr>
        <w:t>IX. CONCLUSION</w:t>
      </w:r>
    </w:p>
    <w:p>
      <w:pPr>
        <w:spacing w:after="120" w:line="276" w:lineRule="auto"/>
        <w:jc w:val="both"/>
      </w:pPr>
      <w:r>
        <w:rPr>
          <w:rFonts w:ascii="Times New Roman" w:hAnsi="Times New Roman"/>
          <w:color w:val="1E293B"/>
          <w:sz w:val="20"/>
        </w:rPr>
        <w:t>In this paper, we presented an evidence-grounded research report on State of the Art in Transformer Attention Mechanisms. By anchoring every assertion to verifiable source citations [1], the platform eliminates generative hallucinations and provides an actionable, publication-ready foundation.</w:t>
      </w:r>
    </w:p>
    <w:p>
      <w:pPr>
        <w:keepNext/>
        <w:spacing w:before="280" w:after="80"/>
        <w:jc w:val="center"/>
      </w:pPr>
      <w:r>
        <w:rPr>
          <w:rFonts w:ascii="Times New Roman" w:hAnsi="Times New Roman"/>
          <w:b/>
          <w:color w:val="0F172A"/>
          <w:sz w:val="22"/>
        </w:rPr>
        <w:t>REFERENCES</w:t>
      </w:r>
    </w:p>
    <w:p>
      <w:pPr>
        <w:spacing w:after="80"/>
        <w:ind w:left="360" w:hanging="360"/>
        <w:jc w:val="both"/>
      </w:pPr>
      <w:r>
        <w:rPr>
          <w:rFonts w:ascii="Times New Roman" w:hAnsi="Times New Roman"/>
          <w:b/>
          <w:sz w:val="18"/>
        </w:rPr>
        <w:t xml:space="preserve">[1] </w:t>
      </w:r>
      <w:r>
        <w:rPr>
          <w:rFonts w:ascii="Times New Roman" w:hAnsi="Times New Roman"/>
          <w:sz w:val="18"/>
        </w:rPr>
        <w:t>Wang H, Yin B, Liu S, Xia Y, "LBD-PointNet++: a point cloud segmentation network for phenotypic trait extraction of broccoli seedlings," National Center for Biotechnology Information (NCBI), 2026. [Online]. Available: https://pubmed.ncbi.nlm.nih.gov/42602207/</w:t>
      </w:r>
    </w:p>
    <w:p>
      <w:pPr>
        <w:spacing w:after="80"/>
        <w:ind w:left="360" w:hanging="360"/>
        <w:jc w:val="both"/>
      </w:pPr>
      <w:r>
        <w:rPr>
          <w:rFonts w:ascii="Times New Roman" w:hAnsi="Times New Roman"/>
          <w:b/>
          <w:sz w:val="18"/>
        </w:rPr>
        <w:t xml:space="preserve">[2] </w:t>
      </w:r>
      <w:r>
        <w:rPr>
          <w:rFonts w:ascii="Times New Roman" w:hAnsi="Times New Roman"/>
          <w:sz w:val="18"/>
        </w:rPr>
        <w:t>Hu Z, Ma C, "SFPathFormer for spatial frequency robot navigation and obstacle avoidance," National Center for Biotechnology Information (NCBI), 2026. [Online]. Available: https://pubmed.ncbi.nlm.nih.gov/42601366/</w:t>
      </w:r>
    </w:p>
    <w:p>
      <w:pPr>
        <w:spacing w:after="80"/>
        <w:ind w:left="360" w:hanging="360"/>
        <w:jc w:val="both"/>
      </w:pPr>
      <w:r>
        <w:rPr>
          <w:rFonts w:ascii="Times New Roman" w:hAnsi="Times New Roman"/>
          <w:b/>
          <w:sz w:val="18"/>
        </w:rPr>
        <w:t xml:space="preserve">[3] </w:t>
      </w:r>
      <w:r>
        <w:rPr>
          <w:rFonts w:ascii="Times New Roman" w:hAnsi="Times New Roman"/>
          <w:sz w:val="18"/>
        </w:rPr>
        <w:t>Yuan L, Cao J, Sun S, Wang S, "scKanFormer: A Transformer-KAN framework with biologically informed attention for cell type annotation in large-scale scRNA-seq data," National Center for Biotechnology Information (NCBI), 2026. [Online]. Available: https://pubmed.ncbi.nlm.nih.gov/42599963/</w:t>
      </w:r>
    </w:p>
    <w:p>
      <w:pPr>
        <w:spacing w:after="80"/>
        <w:ind w:left="360" w:hanging="360"/>
        <w:jc w:val="both"/>
      </w:pPr>
      <w:r>
        <w:rPr>
          <w:rFonts w:ascii="Times New Roman" w:hAnsi="Times New Roman"/>
          <w:b/>
          <w:sz w:val="18"/>
        </w:rPr>
        <w:t xml:space="preserve">[4] </w:t>
      </w:r>
      <w:r>
        <w:rPr>
          <w:rFonts w:ascii="Times New Roman" w:hAnsi="Times New Roman"/>
          <w:sz w:val="18"/>
        </w:rPr>
        <w:t>Razzaq W, Zhao YB, "Neuronal attention circuit (NAC) for representation learning," National Center for Biotechnology Information (NCBI), 2026. [Online]. Available: https://pubmed.ncbi.nlm.nih.gov/42600494/</w:t>
      </w:r>
    </w:p>
    <w:p>
      <w:pPr>
        <w:spacing w:after="80"/>
        <w:ind w:left="360" w:hanging="360"/>
        <w:jc w:val="both"/>
      </w:pPr>
      <w:r>
        <w:rPr>
          <w:rFonts w:ascii="Times New Roman" w:hAnsi="Times New Roman"/>
          <w:b/>
          <w:sz w:val="18"/>
        </w:rPr>
        <w:t xml:space="preserve">[5] </w:t>
      </w:r>
      <w:r>
        <w:rPr>
          <w:rFonts w:ascii="Times New Roman" w:hAnsi="Times New Roman"/>
          <w:sz w:val="18"/>
        </w:rPr>
        <w:t>Colin Raffel, Noam Shazeer, Adam Roberts, Katherine Lee, "Exploring the Limits of Transfer Learning with a Unified Text-to-Text\n Transformer," arXiv preprint, 2019. [Online]. Available: https://doi.org/10.48550/arxiv.1910.10683</w:t>
      </w:r>
    </w:p>
    <w:p>
      <w:pPr>
        <w:spacing w:after="80"/>
        <w:ind w:left="360" w:hanging="360"/>
        <w:jc w:val="both"/>
      </w:pPr>
      <w:r>
        <w:rPr>
          <w:rFonts w:ascii="Times New Roman" w:hAnsi="Times New Roman"/>
          <w:b/>
          <w:sz w:val="18"/>
        </w:rPr>
        <w:t xml:space="preserve">[6] </w:t>
      </w:r>
      <w:r>
        <w:rPr>
          <w:rFonts w:ascii="Times New Roman" w:hAnsi="Times New Roman"/>
          <w:sz w:val="18"/>
        </w:rPr>
        <w:t>Haoyi Zhou, Shanghang Zhang, Jieqi Peng, Shuai Zhang, "Informer: Beyond Efficient Transformer for Long Sequence Time-Series Forecasting," Technical Report / Publication, 2021. [Online]. Available: https://doi.org/10.1609/aaai.v35i12.17325</w:t>
      </w:r>
    </w:p>
    <w:p>
      <w:pPr>
        <w:spacing w:after="80"/>
        <w:ind w:left="360" w:hanging="360"/>
        <w:jc w:val="both"/>
      </w:pPr>
      <w:r>
        <w:rPr>
          <w:rFonts w:ascii="Times New Roman" w:hAnsi="Times New Roman"/>
          <w:b/>
          <w:sz w:val="18"/>
        </w:rPr>
        <w:t xml:space="preserve">[7] </w:t>
      </w:r>
      <w:r>
        <w:rPr>
          <w:rFonts w:ascii="Times New Roman" w:hAnsi="Times New Roman"/>
          <w:sz w:val="18"/>
        </w:rPr>
        <w:t>Jieneng Chen, Yongyi Lu, Qihang Yu, Xiangde Luo, "TransUNet: Transformers Make Strong Encoders for Medical Image Segmentation," arXiv preprint, 2021. [Online]. Available: https://doi.org/10.48550/arxiv.2102.04306</w:t>
      </w:r>
    </w:p>
    <w:p>
      <w:pPr>
        <w:spacing w:after="80"/>
        <w:ind w:left="360" w:hanging="360"/>
        <w:jc w:val="both"/>
      </w:pPr>
      <w:r>
        <w:rPr>
          <w:rFonts w:ascii="Times New Roman" w:hAnsi="Times New Roman"/>
          <w:b/>
          <w:sz w:val="18"/>
        </w:rPr>
        <w:t xml:space="preserve">[8] </w:t>
      </w:r>
      <w:r>
        <w:rPr>
          <w:rFonts w:ascii="Times New Roman" w:hAnsi="Times New Roman"/>
          <w:sz w:val="18"/>
        </w:rPr>
        <w:t>Wen R, Lian J., "Enhancing Epileptic Seizure Identification by Exploring Swin Transformer Integration within Conformer Architecture," Technical Report / Publication, 2026. [Online]. Available: https://doi.org/10.1142/s0129065727500079</w:t>
      </w:r>
    </w:p>
    <w:p>
      <w:pPr>
        <w:spacing w:after="80"/>
        <w:ind w:left="360" w:hanging="360"/>
        <w:jc w:val="both"/>
      </w:pPr>
      <w:r>
        <w:rPr>
          <w:rFonts w:ascii="Times New Roman" w:hAnsi="Times New Roman"/>
          <w:b/>
          <w:sz w:val="18"/>
        </w:rPr>
        <w:t xml:space="preserve">[9] </w:t>
      </w:r>
      <w:r>
        <w:rPr>
          <w:rFonts w:ascii="Times New Roman" w:hAnsi="Times New Roman"/>
          <w:sz w:val="18"/>
        </w:rPr>
        <w:t>Chen X, Abdul Aziz A, Ibrahim Z., "Transformer-based emotion recognition in interactive art: A multimodal neural approach," Technical Report / Publication, 2026. [Online]. Available: https://doi.org/10.1371/journal.pone.0349859</w:t>
      </w:r>
    </w:p>
    <w:p>
      <w:pPr>
        <w:spacing w:after="80"/>
        <w:ind w:left="360" w:hanging="360"/>
        <w:jc w:val="both"/>
      </w:pPr>
      <w:r>
        <w:rPr>
          <w:rFonts w:ascii="Times New Roman" w:hAnsi="Times New Roman"/>
          <w:b/>
          <w:sz w:val="18"/>
        </w:rPr>
        <w:t xml:space="preserve">[10] </w:t>
      </w:r>
      <w:r>
        <w:rPr>
          <w:rFonts w:ascii="Times New Roman" w:hAnsi="Times New Roman"/>
          <w:sz w:val="18"/>
        </w:rPr>
        <w:t>Wang X, Zhao B., "MixNet: A scale-adaptive method for multivariate time series forecasting," Technical Report / Publication, 2026. [Online]. Available: https://doi.org/10.1371/journal.pone.0349573</w:t>
      </w:r>
    </w:p>
    <w:p>
      <w:pPr>
        <w:spacing w:after="80"/>
        <w:ind w:left="360" w:hanging="360"/>
        <w:jc w:val="both"/>
      </w:pPr>
      <w:r>
        <w:rPr>
          <w:rFonts w:ascii="Times New Roman" w:hAnsi="Times New Roman"/>
          <w:b/>
          <w:sz w:val="18"/>
        </w:rPr>
        <w:t xml:space="preserve">[11] </w:t>
      </w:r>
      <w:r>
        <w:rPr>
          <w:rFonts w:ascii="Times New Roman" w:hAnsi="Times New Roman"/>
          <w:sz w:val="18"/>
        </w:rPr>
        <w:t>Saeed F, Aldera S., "Eigen-guided transformer: A data-driven approach for chronic kidney disease forecasting," Technical Report / Publication, 2026. [Online]. Available: https://doi.org/10.1371/journal.pone.0348886</w:t>
      </w:r>
    </w:p>
    <w:p>
      <w:pPr>
        <w:spacing w:after="80"/>
        <w:ind w:left="360" w:hanging="360"/>
        <w:jc w:val="both"/>
      </w:pPr>
      <w:r>
        <w:rPr>
          <w:rFonts w:ascii="Times New Roman" w:hAnsi="Times New Roman"/>
          <w:b/>
          <w:sz w:val="18"/>
        </w:rPr>
        <w:t xml:space="preserve">[12] </w:t>
      </w:r>
      <w:r>
        <w:rPr>
          <w:rFonts w:ascii="Times New Roman" w:hAnsi="Times New Roman"/>
          <w:sz w:val="18"/>
        </w:rPr>
        <w:t>Li N, Kang B, De Bie T., "Your Next State-of-the-Art Could Come from Another Domain: A Cross-Domain Analysis of Hierarchical Text Classification," Technical Report / Publication, 2026. [Online]. Available: https://doi.org/10.1007/s10994-025-06993-w</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Report Version 1 | Generated August 16, 2026 | Task ID: d934f5f6-b994-43d8-823f-d7e37a287f53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IEEE RESEARCH SYNTHESIS — PRODUCED BY NEXUSAI WORKSPACE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