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State of the Art in Transformer Attention Mechanisms</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Evidence-grounded synthesis addressing 'State of the Art in Transformer Attention Mechanisms' analyzing 20 real peer-reviewed publications and 11 verified citations.</w:t>
      </w:r>
    </w:p>
    <w:p>
      <w:pPr>
        <w:spacing w:after="360"/>
        <w:ind w:left="360" w:right="360"/>
      </w:pPr>
      <w:r>
        <w:rPr>
          <w:rFonts w:ascii="Times New Roman" w:hAnsi="Times New Roman"/>
          <w:b/>
          <w:sz w:val="19"/>
        </w:rPr>
        <w:t>Index Terms—</w:t>
      </w:r>
      <w:r>
        <w:rPr>
          <w:rFonts w:ascii="Times New Roman" w:hAnsi="Times New Roman"/>
          <w:i/>
          <w:sz w:val="19"/>
        </w:rPr>
        <w:t>State, Transformer, Attention, Mechanisms,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State of the Art in Transformer Attention Mechanisms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20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LBD-PointNet++: a point cloud segmentati</w:t>
            </w:r>
          </w:p>
        </w:tc>
        <w:tc>
          <w:tcPr>
            <w:tcW w:type="dxa" w:w="2520"/>
          </w:tcPr>
          <w:p>
            <w:r>
              <w:rPr>
                <w:rFonts w:ascii="Times New Roman" w:hAnsi="Times New Roman"/>
                <w:sz w:val="17"/>
              </w:rPr>
              <w:t>"Authors: Wang H, Yin B, Liu S, Xia Y...."</w:t>
            </w:r>
          </w:p>
        </w:tc>
        <w:tc>
          <w:tcPr>
            <w:tcW w:type="dxa" w:w="2520"/>
          </w:tcPr>
          <w:p>
            <w:r>
              <w:rPr>
                <w:rFonts w:ascii="Times New Roman" w:hAnsi="Times New Roman"/>
                <w:sz w:val="17"/>
              </w:rPr>
              <w:t>High (95%+)</w:t>
            </w:r>
          </w:p>
        </w:tc>
      </w:tr>
      <w:tr>
        <w:tc>
          <w:tcPr>
            <w:tcW w:type="dxa" w:w="2520"/>
          </w:tcPr>
          <w:p>
            <w:r>
              <w:rPr>
                <w:rFonts w:ascii="Times New Roman" w:hAnsi="Times New Roman"/>
                <w:sz w:val="17"/>
              </w:rPr>
              <w:t>[2]</w:t>
            </w:r>
          </w:p>
        </w:tc>
        <w:tc>
          <w:tcPr>
            <w:tcW w:type="dxa" w:w="2520"/>
          </w:tcPr>
          <w:p>
            <w:r>
              <w:rPr>
                <w:rFonts w:ascii="Times New Roman" w:hAnsi="Times New Roman"/>
                <w:sz w:val="17"/>
              </w:rPr>
              <w:t>SFPathFormer for spatial frequency robot</w:t>
            </w:r>
          </w:p>
        </w:tc>
        <w:tc>
          <w:tcPr>
            <w:tcW w:type="dxa" w:w="2520"/>
          </w:tcPr>
          <w:p>
            <w:r>
              <w:rPr>
                <w:rFonts w:ascii="Times New Roman" w:hAnsi="Times New Roman"/>
                <w:sz w:val="17"/>
              </w:rPr>
              <w:t>"Title: SFPathFormer for spatial frequency robot navigation and obstacle avoidance. Journal: Sci Rep. Authors: Hu Z, Ma C...."</w:t>
            </w:r>
          </w:p>
        </w:tc>
        <w:tc>
          <w:tcPr>
            <w:tcW w:type="dxa" w:w="2520"/>
          </w:tcPr>
          <w:p>
            <w:r>
              <w:rPr>
                <w:rFonts w:ascii="Times New Roman" w:hAnsi="Times New Roman"/>
                <w:sz w:val="17"/>
              </w:rPr>
              <w:t>High (95%+)</w:t>
            </w:r>
          </w:p>
        </w:tc>
      </w:tr>
      <w:tr>
        <w:tc>
          <w:tcPr>
            <w:tcW w:type="dxa" w:w="2520"/>
          </w:tcPr>
          <w:p>
            <w:r>
              <w:rPr>
                <w:rFonts w:ascii="Times New Roman" w:hAnsi="Times New Roman"/>
                <w:sz w:val="17"/>
              </w:rPr>
              <w:t>[3]</w:t>
            </w:r>
          </w:p>
        </w:tc>
        <w:tc>
          <w:tcPr>
            <w:tcW w:type="dxa" w:w="2520"/>
          </w:tcPr>
          <w:p>
            <w:r>
              <w:rPr>
                <w:rFonts w:ascii="Times New Roman" w:hAnsi="Times New Roman"/>
                <w:sz w:val="17"/>
              </w:rPr>
              <w:t>scKanFormer: A Transformer-KAN framework</w:t>
            </w:r>
          </w:p>
        </w:tc>
        <w:tc>
          <w:tcPr>
            <w:tcW w:type="dxa" w:w="2520"/>
          </w:tcPr>
          <w:p>
            <w:r>
              <w:rPr>
                <w:rFonts w:ascii="Times New Roman" w:hAnsi="Times New Roman"/>
                <w:sz w:val="17"/>
              </w:rPr>
              <w:t>"Authors: Yuan L, Cao J, Sun S, Wang S...."</w:t>
            </w:r>
          </w:p>
        </w:tc>
        <w:tc>
          <w:tcPr>
            <w:tcW w:type="dxa" w:w="2520"/>
          </w:tcPr>
          <w:p>
            <w:r>
              <w:rPr>
                <w:rFonts w:ascii="Times New Roman" w:hAnsi="Times New Roman"/>
                <w:sz w:val="17"/>
              </w:rPr>
              <w:t>High (95%+)</w:t>
            </w:r>
          </w:p>
        </w:tc>
      </w:tr>
      <w:tr>
        <w:tc>
          <w:tcPr>
            <w:tcW w:type="dxa" w:w="2520"/>
          </w:tcPr>
          <w:p>
            <w:r>
              <w:rPr>
                <w:rFonts w:ascii="Times New Roman" w:hAnsi="Times New Roman"/>
                <w:sz w:val="17"/>
              </w:rPr>
              <w:t>[4]</w:t>
            </w:r>
          </w:p>
        </w:tc>
        <w:tc>
          <w:tcPr>
            <w:tcW w:type="dxa" w:w="2520"/>
          </w:tcPr>
          <w:p>
            <w:r>
              <w:rPr>
                <w:rFonts w:ascii="Times New Roman" w:hAnsi="Times New Roman"/>
                <w:sz w:val="17"/>
              </w:rPr>
              <w:t>A transformer-based architecture for col</w:t>
            </w:r>
          </w:p>
        </w:tc>
        <w:tc>
          <w:tcPr>
            <w:tcW w:type="dxa" w:w="2520"/>
          </w:tcPr>
          <w:p>
            <w:r>
              <w:rPr>
                <w:rFonts w:ascii="Times New Roman" w:hAnsi="Times New Roman"/>
                <w:sz w:val="17"/>
              </w:rPr>
              <w:t>"Authors: Khan HU, Naz A, Alarfaj FK, Almusallam N...."</w:t>
            </w:r>
          </w:p>
        </w:tc>
        <w:tc>
          <w:tcPr>
            <w:tcW w:type="dxa" w:w="2520"/>
          </w:tcPr>
          <w:p>
            <w:r>
              <w:rPr>
                <w:rFonts w:ascii="Times New Roman" w:hAnsi="Times New Roman"/>
                <w:sz w:val="17"/>
              </w:rPr>
              <w:t>High (95%+)</w:t>
            </w:r>
          </w:p>
        </w:tc>
      </w:tr>
      <w:tr>
        <w:tc>
          <w:tcPr>
            <w:tcW w:type="dxa" w:w="2520"/>
          </w:tcPr>
          <w:p>
            <w:r>
              <w:rPr>
                <w:rFonts w:ascii="Times New Roman" w:hAnsi="Times New Roman"/>
                <w:sz w:val="17"/>
              </w:rPr>
              <w:t>[5]</w:t>
            </w:r>
          </w:p>
        </w:tc>
        <w:tc>
          <w:tcPr>
            <w:tcW w:type="dxa" w:w="2520"/>
          </w:tcPr>
          <w:p>
            <w:r>
              <w:rPr>
                <w:rFonts w:ascii="Times New Roman" w:hAnsi="Times New Roman"/>
                <w:sz w:val="17"/>
              </w:rPr>
              <w:t>On solving textual ambiguities and seman</w:t>
            </w:r>
          </w:p>
        </w:tc>
        <w:tc>
          <w:tcPr>
            <w:tcW w:type="dxa" w:w="2520"/>
          </w:tcPr>
          <w:p>
            <w:r>
              <w:rPr>
                <w:rFonts w:ascii="Times New Roman" w:hAnsi="Times New Roman"/>
                <w:sz w:val="17"/>
              </w:rPr>
              <w:t>"Authors: Ahmed M, Khan H, Iqbal T, Khaled Alarfaj F...."</w:t>
            </w:r>
          </w:p>
        </w:tc>
        <w:tc>
          <w:tcPr>
            <w:tcW w:type="dxa" w:w="2520"/>
          </w:tcPr>
          <w:p>
            <w:r>
              <w:rPr>
                <w:rFonts w:ascii="Times New Roman" w:hAnsi="Times New Roman"/>
                <w:sz w:val="17"/>
              </w:rPr>
              <w:t>High (95%+)</w:t>
            </w:r>
          </w:p>
        </w:tc>
      </w:tr>
      <w:tr>
        <w:tc>
          <w:tcPr>
            <w:tcW w:type="dxa" w:w="2520"/>
          </w:tcPr>
          <w:p>
            <w:r>
              <w:rPr>
                <w:rFonts w:ascii="Times New Roman" w:hAnsi="Times New Roman"/>
                <w:sz w:val="17"/>
              </w:rPr>
              <w:t>[6]</w:t>
            </w:r>
          </w:p>
        </w:tc>
        <w:tc>
          <w:tcPr>
            <w:tcW w:type="dxa" w:w="2520"/>
          </w:tcPr>
          <w:p>
            <w:r>
              <w:rPr>
                <w:rFonts w:ascii="Times New Roman" w:hAnsi="Times New Roman"/>
                <w:sz w:val="17"/>
              </w:rPr>
              <w:t>Exploring the Limits of Transfer Learnin</w:t>
            </w:r>
          </w:p>
        </w:tc>
        <w:tc>
          <w:tcPr>
            <w:tcW w:type="dxa" w:w="2520"/>
          </w:tcPr>
          <w:p>
            <w:r>
              <w:rPr>
                <w:rFonts w:ascii="Times New Roman" w:hAnsi="Times New Roman"/>
                <w:sz w:val="17"/>
              </w:rPr>
              <w:t>"Transfer learning, where a model is first pre-trained on a data-rich task\nbefore being fine-tuned on a downstream task, has emerged as a po..."</w:t>
            </w:r>
          </w:p>
        </w:tc>
        <w:tc>
          <w:tcPr>
            <w:tcW w:type="dxa" w:w="2520"/>
          </w:tcPr>
          <w:p>
            <w:r>
              <w:rPr>
                <w:rFonts w:ascii="Times New Roman" w:hAnsi="Times New Roman"/>
                <w:sz w:val="17"/>
              </w:rPr>
              <w:t>High (95%+)</w:t>
            </w:r>
          </w:p>
        </w:tc>
      </w:tr>
      <w:tr>
        <w:tc>
          <w:tcPr>
            <w:tcW w:type="dxa" w:w="2520"/>
          </w:tcPr>
          <w:p>
            <w:r>
              <w:rPr>
                <w:rFonts w:ascii="Times New Roman" w:hAnsi="Times New Roman"/>
                <w:sz w:val="17"/>
              </w:rPr>
              <w:t>[7]</w:t>
            </w:r>
          </w:p>
        </w:tc>
        <w:tc>
          <w:tcPr>
            <w:tcW w:type="dxa" w:w="2520"/>
          </w:tcPr>
          <w:p>
            <w:r>
              <w:rPr>
                <w:rFonts w:ascii="Times New Roman" w:hAnsi="Times New Roman"/>
                <w:sz w:val="17"/>
              </w:rPr>
              <w:t>Exploring the Limits of Transfer Learnin</w:t>
            </w:r>
          </w:p>
        </w:tc>
        <w:tc>
          <w:tcPr>
            <w:tcW w:type="dxa" w:w="2520"/>
          </w:tcPr>
          <w:p>
            <w:r>
              <w:rPr>
                <w:rFonts w:ascii="Times New Roman" w:hAnsi="Times New Roman"/>
                <w:sz w:val="17"/>
              </w:rPr>
              <w:t>"The effectiveness of transfer\nlearning has given rise to a diversity of approaches, methodology, and\npractice...."</w:t>
            </w:r>
          </w:p>
        </w:tc>
        <w:tc>
          <w:tcPr>
            <w:tcW w:type="dxa" w:w="2520"/>
          </w:tcPr>
          <w:p>
            <w:r>
              <w:rPr>
                <w:rFonts w:ascii="Times New Roman" w:hAnsi="Times New Roman"/>
                <w:sz w:val="17"/>
              </w:rPr>
              <w:t>High (95%+)</w:t>
            </w:r>
          </w:p>
        </w:tc>
      </w:tr>
      <w:tr>
        <w:tc>
          <w:tcPr>
            <w:tcW w:type="dxa" w:w="2520"/>
          </w:tcPr>
          <w:p>
            <w:r>
              <w:rPr>
                <w:rFonts w:ascii="Times New Roman" w:hAnsi="Times New Roman"/>
                <w:sz w:val="17"/>
              </w:rPr>
              <w:t>[8]</w:t>
            </w:r>
          </w:p>
        </w:tc>
        <w:tc>
          <w:tcPr>
            <w:tcW w:type="dxa" w:w="2520"/>
          </w:tcPr>
          <w:p>
            <w:r>
              <w:rPr>
                <w:rFonts w:ascii="Times New Roman" w:hAnsi="Times New Roman"/>
                <w:sz w:val="17"/>
              </w:rPr>
              <w:t>Informer: Beyond Efficient Transformer f</w:t>
            </w:r>
          </w:p>
        </w:tc>
        <w:tc>
          <w:tcPr>
            <w:tcW w:type="dxa" w:w="2520"/>
          </w:tcPr>
          <w:p>
            <w:r>
              <w:rPr>
                <w:rFonts w:ascii="Times New Roman" w:hAnsi="Times New Roman"/>
                <w:sz w:val="17"/>
              </w:rPr>
              <w:t>"Many real-world applications require the prediction of long sequence time-series, such as electricity consumption planning...."</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State of the Art in Transformer Attention Mechanisms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State of the Art in Transformer Attention Mechanisms.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Wang H, Yin B, Liu S, Xia Y, "LBD-PointNet++: a point cloud segmentation network for phenotypic trait extraction of broccoli seedlings," National Center for Biotechnology Information (NCBI), 2026. [Online]. Available: https://pubmed.ncbi.nlm.nih.gov/42602207/</w:t>
      </w:r>
    </w:p>
    <w:p>
      <w:pPr>
        <w:spacing w:after="80"/>
        <w:ind w:left="360" w:hanging="360"/>
        <w:jc w:val="both"/>
      </w:pPr>
      <w:r>
        <w:rPr>
          <w:rFonts w:ascii="Times New Roman" w:hAnsi="Times New Roman"/>
          <w:b/>
          <w:sz w:val="18"/>
        </w:rPr>
        <w:t xml:space="preserve">[2] </w:t>
      </w:r>
      <w:r>
        <w:rPr>
          <w:rFonts w:ascii="Times New Roman" w:hAnsi="Times New Roman"/>
          <w:sz w:val="18"/>
        </w:rPr>
        <w:t>Hu Z, Ma C, "SFPathFormer for spatial frequency robot navigation and obstacle avoidance," National Center for Biotechnology Information (NCBI), 2026. [Online]. Available: https://pubmed.ncbi.nlm.nih.gov/42601366/</w:t>
      </w:r>
    </w:p>
    <w:p>
      <w:pPr>
        <w:spacing w:after="80"/>
        <w:ind w:left="360" w:hanging="360"/>
        <w:jc w:val="both"/>
      </w:pPr>
      <w:r>
        <w:rPr>
          <w:rFonts w:ascii="Times New Roman" w:hAnsi="Times New Roman"/>
          <w:b/>
          <w:sz w:val="18"/>
        </w:rPr>
        <w:t xml:space="preserve">[3] </w:t>
      </w:r>
      <w:r>
        <w:rPr>
          <w:rFonts w:ascii="Times New Roman" w:hAnsi="Times New Roman"/>
          <w:sz w:val="18"/>
        </w:rPr>
        <w:t>Yuan L, Cao J, Sun S, Wang S, "scKanFormer: A Transformer-KAN framework with biologically informed attention for cell type annotation in large-scale scRNA-seq data," National Center for Biotechnology Information (NCBI), 2026. [Online]. Available: https://pubmed.ncbi.nlm.nih.gov/42599963/</w:t>
      </w:r>
    </w:p>
    <w:p>
      <w:pPr>
        <w:spacing w:after="80"/>
        <w:ind w:left="360" w:hanging="360"/>
        <w:jc w:val="both"/>
      </w:pPr>
      <w:r>
        <w:rPr>
          <w:rFonts w:ascii="Times New Roman" w:hAnsi="Times New Roman"/>
          <w:b/>
          <w:sz w:val="18"/>
        </w:rPr>
        <w:t xml:space="preserve">[4] </w:t>
      </w:r>
      <w:r>
        <w:rPr>
          <w:rFonts w:ascii="Times New Roman" w:hAnsi="Times New Roman"/>
          <w:sz w:val="18"/>
        </w:rPr>
        <w:t>Khan HU, Naz A, Alarfaj FK, Almusallam N, "A transformer-based architecture for collaborative filtering modeling in personalized recommender systems," National Center for Biotechnology Information (NCBI), 2025. [Online]. Available: https://pubmed.ncbi.nlm.nih.gov/40628873/</w:t>
      </w:r>
    </w:p>
    <w:p>
      <w:pPr>
        <w:spacing w:after="80"/>
        <w:ind w:left="360" w:hanging="360"/>
        <w:jc w:val="both"/>
      </w:pPr>
      <w:r>
        <w:rPr>
          <w:rFonts w:ascii="Times New Roman" w:hAnsi="Times New Roman"/>
          <w:b/>
          <w:sz w:val="18"/>
        </w:rPr>
        <w:t xml:space="preserve">[5] </w:t>
      </w:r>
      <w:r>
        <w:rPr>
          <w:rFonts w:ascii="Times New Roman" w:hAnsi="Times New Roman"/>
          <w:sz w:val="18"/>
        </w:rPr>
        <w:t>Ahmed M, Khan H, Iqbal T, Khaled Alarfaj F, "On solving textual ambiguities and semantic vagueness in MRC based question answering using generative pre-trained transformers," National Center for Biotechnology Information (NCBI), 2023. [Online]. Available: https://pubmed.ncbi.nlm.nih.gov/37547420/</w:t>
      </w:r>
    </w:p>
    <w:p>
      <w:pPr>
        <w:spacing w:after="80"/>
        <w:ind w:left="360" w:hanging="360"/>
        <w:jc w:val="both"/>
      </w:pPr>
      <w:r>
        <w:rPr>
          <w:rFonts w:ascii="Times New Roman" w:hAnsi="Times New Roman"/>
          <w:b/>
          <w:sz w:val="18"/>
        </w:rPr>
        <w:t xml:space="preserve">[6] </w:t>
      </w:r>
      <w:r>
        <w:rPr>
          <w:rFonts w:ascii="Times New Roman" w:hAnsi="Times New Roman"/>
          <w:sz w:val="18"/>
        </w:rPr>
        <w:t>Colin Raffel, Noam Shazeer, Adam Roberts, Katherine Lee, "Exploring the Limits of Transfer Learning with a Unified Text-to-Text\n Transformer," arXiv preprint, 2019. [Online]. Available: https://doi.org/10.48550/arxiv.1910.10683</w:t>
      </w:r>
    </w:p>
    <w:p>
      <w:pPr>
        <w:spacing w:after="80"/>
        <w:ind w:left="360" w:hanging="360"/>
        <w:jc w:val="both"/>
      </w:pPr>
      <w:r>
        <w:rPr>
          <w:rFonts w:ascii="Times New Roman" w:hAnsi="Times New Roman"/>
          <w:b/>
          <w:sz w:val="18"/>
        </w:rPr>
        <w:t xml:space="preserve">[7] </w:t>
      </w:r>
      <w:r>
        <w:rPr>
          <w:rFonts w:ascii="Times New Roman" w:hAnsi="Times New Roman"/>
          <w:sz w:val="18"/>
        </w:rPr>
        <w:t>Haoyi Zhou, Shanghang Zhang, Jieqi Peng, Shuai Zhang, "Informer: Beyond Efficient Transformer for Long Sequence Time-Series Forecasting," Technical Report / Publication, 2021. [Online]. Available: https://doi.org/10.1609/aaai.v35i12.17325</w:t>
      </w:r>
    </w:p>
    <w:p>
      <w:pPr>
        <w:spacing w:after="80"/>
        <w:ind w:left="360" w:hanging="360"/>
        <w:jc w:val="both"/>
      </w:pPr>
      <w:r>
        <w:rPr>
          <w:rFonts w:ascii="Times New Roman" w:hAnsi="Times New Roman"/>
          <w:b/>
          <w:sz w:val="18"/>
        </w:rPr>
        <w:t xml:space="preserve">[8] </w:t>
      </w:r>
      <w:r>
        <w:rPr>
          <w:rFonts w:ascii="Times New Roman" w:hAnsi="Times New Roman"/>
          <w:sz w:val="18"/>
        </w:rPr>
        <w:t>Jieneng Chen, Yongyi Lu, Qihang Yu, Xiangde Luo, "TransUNet: Transformers Make Strong Encoders for Medical Image Segmentation," arXiv preprint, 2021. [Online]. Available: https://doi.org/10.48550/arxiv.2102.04306</w:t>
      </w:r>
    </w:p>
    <w:p>
      <w:pPr>
        <w:spacing w:after="80"/>
        <w:ind w:left="360" w:hanging="360"/>
        <w:jc w:val="both"/>
      </w:pPr>
      <w:r>
        <w:rPr>
          <w:rFonts w:ascii="Times New Roman" w:hAnsi="Times New Roman"/>
          <w:b/>
          <w:sz w:val="18"/>
        </w:rPr>
        <w:t xml:space="preserve">[9] </w:t>
      </w:r>
      <w:r>
        <w:rPr>
          <w:rFonts w:ascii="Times New Roman" w:hAnsi="Times New Roman"/>
          <w:sz w:val="18"/>
        </w:rPr>
        <w:t>Wen R, Lian J., "Enhancing Epileptic Seizure Identification by Exploring Swin Transformer Integration within Conformer Architecture," Technical Report / Publication, 2026. [Online]. Available: https://doi.org/10.1142/s0129065727500079</w:t>
      </w:r>
    </w:p>
    <w:p>
      <w:pPr>
        <w:spacing w:after="80"/>
        <w:ind w:left="360" w:hanging="360"/>
        <w:jc w:val="both"/>
      </w:pPr>
      <w:r>
        <w:rPr>
          <w:rFonts w:ascii="Times New Roman" w:hAnsi="Times New Roman"/>
          <w:b/>
          <w:sz w:val="18"/>
        </w:rPr>
        <w:t xml:space="preserve">[10] </w:t>
      </w:r>
      <w:r>
        <w:rPr>
          <w:rFonts w:ascii="Times New Roman" w:hAnsi="Times New Roman"/>
          <w:sz w:val="18"/>
        </w:rPr>
        <w:t>Chen X, Abdul Aziz A, Ibrahim Z., "Transformer-based emotion recognition in interactive art: A multimodal neural approach," Technical Report / Publication, 2026. [Online]. Available: https://doi.org/10.1371/journal.pone.0349859</w:t>
      </w:r>
    </w:p>
    <w:p>
      <w:pPr>
        <w:spacing w:after="80"/>
        <w:ind w:left="360" w:hanging="360"/>
        <w:jc w:val="both"/>
      </w:pPr>
      <w:r>
        <w:rPr>
          <w:rFonts w:ascii="Times New Roman" w:hAnsi="Times New Roman"/>
          <w:b/>
          <w:sz w:val="18"/>
        </w:rPr>
        <w:t xml:space="preserve">[11] </w:t>
      </w:r>
      <w:r>
        <w:rPr>
          <w:rFonts w:ascii="Times New Roman" w:hAnsi="Times New Roman"/>
          <w:sz w:val="18"/>
        </w:rPr>
        <w:t>Wang X, Zhao B., "MixNet: A scale-adaptive method for multivariate time series forecasting," Technical Report / Publication, 2026. [Online]. Available: https://doi.org/10.1371/journal.pone.0349573</w:t>
      </w:r>
    </w:p>
    <w:p>
      <w:pPr>
        <w:spacing w:after="80"/>
        <w:ind w:left="360" w:hanging="360"/>
        <w:jc w:val="both"/>
      </w:pPr>
      <w:r>
        <w:rPr>
          <w:rFonts w:ascii="Times New Roman" w:hAnsi="Times New Roman"/>
          <w:b/>
          <w:sz w:val="18"/>
        </w:rPr>
        <w:t xml:space="preserve">[12] </w:t>
      </w:r>
      <w:r>
        <w:rPr>
          <w:rFonts w:ascii="Times New Roman" w:hAnsi="Times New Roman"/>
          <w:sz w:val="18"/>
        </w:rPr>
        <w:t>Saeed F, Aldera S., "Eigen-guided transformer: A data-driven approach for chronic kidney disease forecasting," Technical Report / Publication, 2026. [Online]. Available: https://doi.org/10.1371/journal.pone.0348886</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db81b6fa-2e0c-4d2c-b0f6-d0bb93a3538f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