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State of the Art in Transformer Attention Mechanisms</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Comprehensive evidence-grounded investigation into 'State of the Art in Transformer Attention Mechanisms' synthesizing 2 authoritative sources, 2 verified claims, and 0 potential methodological conflicts.</w:t>
      </w:r>
    </w:p>
    <w:p>
      <w:pPr>
        <w:spacing w:after="360"/>
        <w:ind w:left="360" w:right="360"/>
      </w:pPr>
      <w:r>
        <w:rPr>
          <w:rFonts w:ascii="Times New Roman" w:hAnsi="Times New Roman"/>
          <w:b/>
          <w:sz w:val="19"/>
        </w:rPr>
        <w:t>Index Terms—</w:t>
      </w:r>
      <w:r>
        <w:rPr>
          <w:rFonts w:ascii="Times New Roman" w:hAnsi="Times New Roman"/>
          <w:i/>
          <w:sz w:val="19"/>
        </w:rPr>
        <w:t>State, Transformer, Attention, Mechanisms,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State of the Art in Transformer Attention Mechanisms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2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Semantic code clone detection using hybr</w:t>
            </w:r>
          </w:p>
        </w:tc>
        <w:tc>
          <w:tcPr>
            <w:tcW w:type="dxa" w:w="2520"/>
          </w:tcPr>
          <w:p>
            <w:r>
              <w:rPr>
                <w:rFonts w:ascii="Times New Roman" w:hAnsi="Times New Roman"/>
                <w:sz w:val="17"/>
              </w:rPr>
              <w:t>"Authors: Shahbaz Ismail M, Shahzad S, Quradaa FH...."</w:t>
            </w:r>
          </w:p>
        </w:tc>
        <w:tc>
          <w:tcPr>
            <w:tcW w:type="dxa" w:w="2520"/>
          </w:tcPr>
          <w:p>
            <w:r>
              <w:rPr>
                <w:rFonts w:ascii="Times New Roman" w:hAnsi="Times New Roman"/>
                <w:sz w:val="17"/>
              </w:rPr>
              <w:t>High (95%+)</w:t>
            </w:r>
          </w:p>
        </w:tc>
      </w:tr>
      <w:tr>
        <w:tc>
          <w:tcPr>
            <w:tcW w:type="dxa" w:w="2520"/>
          </w:tcPr>
          <w:p>
            <w:r>
              <w:rPr>
                <w:rFonts w:ascii="Times New Roman" w:hAnsi="Times New Roman"/>
                <w:sz w:val="17"/>
              </w:rPr>
              <w:t>[2]</w:t>
            </w:r>
          </w:p>
        </w:tc>
        <w:tc>
          <w:tcPr>
            <w:tcW w:type="dxa" w:w="2520"/>
          </w:tcPr>
          <w:p>
            <w:r>
              <w:rPr>
                <w:rFonts w:ascii="Times New Roman" w:hAnsi="Times New Roman"/>
                <w:sz w:val="17"/>
              </w:rPr>
              <w:t>Ranking-oriented machine learning framew</w:t>
            </w:r>
          </w:p>
        </w:tc>
        <w:tc>
          <w:tcPr>
            <w:tcW w:type="dxa" w:w="2520"/>
          </w:tcPr>
          <w:p>
            <w:r>
              <w:rPr>
                <w:rFonts w:ascii="Times New Roman" w:hAnsi="Times New Roman"/>
                <w:sz w:val="17"/>
              </w:rPr>
              <w:t>"Authors: Li C, Dai J, Tian S, Jiang Y, Hu Q, Chen J, Peng S, Wen Y...."</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State of the Art in Transformer Attention Mechanisms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State of the Art in Transformer Attention Mechanisms.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Shahbaz Ismail M, Shahzad S, Quradaa FH, "Semantic code clone detection using hybrid intermediate representations and BiLSTM networks.," National Center for Biotechnology Information (NCBI), 2026. [Online]. Available: https://pubmed.ncbi.nlm.nih.gov/41557716/</w:t>
      </w:r>
    </w:p>
    <w:p>
      <w:pPr>
        <w:spacing w:after="80"/>
        <w:ind w:left="360" w:hanging="360"/>
        <w:jc w:val="both"/>
      </w:pPr>
      <w:r>
        <w:rPr>
          <w:rFonts w:ascii="Times New Roman" w:hAnsi="Times New Roman"/>
          <w:b/>
          <w:sz w:val="18"/>
        </w:rPr>
        <w:t xml:space="preserve">[2] </w:t>
      </w:r>
      <w:r>
        <w:rPr>
          <w:rFonts w:ascii="Times New Roman" w:hAnsi="Times New Roman"/>
          <w:sz w:val="18"/>
        </w:rPr>
        <w:t>Li C, Dai J, Tian S, Jiang Y, Hu Q, Chen J, Peng S, Wen Y, "Ranking-oriented machine learning framework for probabilistic wind power forecasting with temporal reliability constraints.," National Center for Biotechnology Information (NCBI), 2025 Nov 26. [Online]. Available: https://pubmed.ncbi.nlm.nih.gov/41298734/</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e1ff9b0f-a6d3-4346-9717-f1097d2465b5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