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State of the art in HNSW vector index performance</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Comprehensive evidence-grounded investigation into 'State of the art in HNSW vector index performance' synthesizing 5 authoritative sources, 7 verified claims, and 0 potential methodological conflicts.</w:t>
      </w:r>
    </w:p>
    <w:p>
      <w:pPr>
        <w:spacing w:after="360"/>
        <w:ind w:left="360" w:right="360"/>
      </w:pPr>
      <w:r>
        <w:rPr>
          <w:rFonts w:ascii="Times New Roman" w:hAnsi="Times New Roman"/>
          <w:b/>
          <w:sz w:val="19"/>
        </w:rPr>
        <w:t>Index Terms—</w:t>
      </w:r>
      <w:r>
        <w:rPr>
          <w:rFonts w:ascii="Times New Roman" w:hAnsi="Times New Roman"/>
          <w:i/>
          <w:sz w:val="19"/>
        </w:rPr>
        <w:t>State, HNSW, vector, index, performance,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State of the art in HNSW vector index performance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5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HNSW - Apache Doris</w:t>
            </w:r>
          </w:p>
        </w:tc>
        <w:tc>
          <w:tcPr>
            <w:tcW w:type="dxa" w:w="2520"/>
          </w:tcPr>
          <w:p>
            <w:r>
              <w:rPr>
                <w:rFonts w:ascii="Times New Roman" w:hAnsi="Times New Roman"/>
                <w:sz w:val="17"/>
              </w:rPr>
              <w:t>"May 22, 2026 · Learn the algorithmic principles, parameter tuning, recall optimization, and query performance benchmarks of the …..."</w:t>
            </w:r>
          </w:p>
        </w:tc>
        <w:tc>
          <w:tcPr>
            <w:tcW w:type="dxa" w:w="2520"/>
          </w:tcPr>
          <w:p>
            <w:r>
              <w:rPr>
                <w:rFonts w:ascii="Times New Roman" w:hAnsi="Times New Roman"/>
                <w:sz w:val="17"/>
              </w:rPr>
              <w:t>High (88%)</w:t>
            </w:r>
          </w:p>
        </w:tc>
      </w:tr>
      <w:tr>
        <w:tc>
          <w:tcPr>
            <w:tcW w:type="dxa" w:w="2520"/>
          </w:tcPr>
          <w:p>
            <w:r>
              <w:rPr>
                <w:rFonts w:ascii="Times New Roman" w:hAnsi="Times New Roman"/>
                <w:sz w:val="17"/>
              </w:rPr>
              <w:t>[2]</w:t>
            </w:r>
          </w:p>
        </w:tc>
        <w:tc>
          <w:tcPr>
            <w:tcW w:type="dxa" w:w="2520"/>
          </w:tcPr>
          <w:p>
            <w:r>
              <w:rPr>
                <w:rFonts w:ascii="Times New Roman" w:hAnsi="Times New Roman"/>
                <w:sz w:val="17"/>
              </w:rPr>
              <w:t>Down with the Hierarchy: The ‘H’ in HNSW</w:t>
            </w:r>
          </w:p>
        </w:tc>
        <w:tc>
          <w:tcPr>
            <w:tcW w:type="dxa" w:w="2520"/>
          </w:tcPr>
          <w:p>
            <w:r>
              <w:rPr>
                <w:rFonts w:ascii="Times New Roman" w:hAnsi="Times New Roman"/>
                <w:sz w:val="17"/>
              </w:rPr>
              <w:t>"Jul 3, 2025 · We present compelling empirical evidence that the Hub Highway Hypothesis holds for real datasets and investigate the …..."</w:t>
            </w:r>
          </w:p>
        </w:tc>
        <w:tc>
          <w:tcPr>
            <w:tcW w:type="dxa" w:w="2520"/>
          </w:tcPr>
          <w:p>
            <w:r>
              <w:rPr>
                <w:rFonts w:ascii="Times New Roman" w:hAnsi="Times New Roman"/>
                <w:sz w:val="17"/>
              </w:rPr>
              <w:t>High (88%)</w:t>
            </w:r>
          </w:p>
        </w:tc>
      </w:tr>
      <w:tr>
        <w:tc>
          <w:tcPr>
            <w:tcW w:type="dxa" w:w="2520"/>
          </w:tcPr>
          <w:p>
            <w:r>
              <w:rPr>
                <w:rFonts w:ascii="Times New Roman" w:hAnsi="Times New Roman"/>
                <w:sz w:val="17"/>
              </w:rPr>
              <w:t>[3]</w:t>
            </w:r>
          </w:p>
        </w:tc>
        <w:tc>
          <w:tcPr>
            <w:tcW w:type="dxa" w:w="2520"/>
          </w:tcPr>
          <w:p>
            <w:r>
              <w:rPr>
                <w:rFonts w:ascii="Times New Roman" w:hAnsi="Times New Roman"/>
                <w:sz w:val="17"/>
              </w:rPr>
              <w:t>States and Capitals of India - List of 2</w:t>
            </w:r>
          </w:p>
        </w:tc>
        <w:tc>
          <w:tcPr>
            <w:tcW w:type="dxa" w:w="2520"/>
          </w:tcPr>
          <w:p>
            <w:r>
              <w:rPr>
                <w:rFonts w:ascii="Times New Roman" w:hAnsi="Times New Roman"/>
                <w:sz w:val="17"/>
              </w:rPr>
              <w:t>"Jun 12, 2026 · Madhya Pradesh Madhya Pradesh is a state in central India...."</w:t>
            </w:r>
          </w:p>
        </w:tc>
        <w:tc>
          <w:tcPr>
            <w:tcW w:type="dxa" w:w="2520"/>
          </w:tcPr>
          <w:p>
            <w:r>
              <w:rPr>
                <w:rFonts w:ascii="Times New Roman" w:hAnsi="Times New Roman"/>
                <w:sz w:val="17"/>
              </w:rPr>
              <w:t>High (88%)</w:t>
            </w:r>
          </w:p>
        </w:tc>
      </w:tr>
      <w:tr>
        <w:tc>
          <w:tcPr>
            <w:tcW w:type="dxa" w:w="2520"/>
          </w:tcPr>
          <w:p>
            <w:r>
              <w:rPr>
                <w:rFonts w:ascii="Times New Roman" w:hAnsi="Times New Roman"/>
                <w:sz w:val="17"/>
              </w:rPr>
              <w:t>[4]</w:t>
            </w:r>
          </w:p>
        </w:tc>
        <w:tc>
          <w:tcPr>
            <w:tcW w:type="dxa" w:w="2520"/>
          </w:tcPr>
          <w:p>
            <w:r>
              <w:rPr>
                <w:rFonts w:ascii="Times New Roman" w:hAnsi="Times New Roman"/>
                <w:sz w:val="17"/>
              </w:rPr>
              <w:t>States and Capitals of India - List of 2</w:t>
            </w:r>
          </w:p>
        </w:tc>
        <w:tc>
          <w:tcPr>
            <w:tcW w:type="dxa" w:w="2520"/>
          </w:tcPr>
          <w:p>
            <w:r>
              <w:rPr>
                <w:rFonts w:ascii="Times New Roman" w:hAnsi="Times New Roman"/>
                <w:sz w:val="17"/>
              </w:rPr>
              <w:t>"Its capital is Bhopal, and Madhya Pradesh is the second-largest …..."</w:t>
            </w:r>
          </w:p>
        </w:tc>
        <w:tc>
          <w:tcPr>
            <w:tcW w:type="dxa" w:w="2520"/>
          </w:tcPr>
          <w:p>
            <w:r>
              <w:rPr>
                <w:rFonts w:ascii="Times New Roman" w:hAnsi="Times New Roman"/>
                <w:sz w:val="17"/>
              </w:rPr>
              <w:t>High (88%)</w:t>
            </w:r>
          </w:p>
        </w:tc>
      </w:tr>
      <w:tr>
        <w:tc>
          <w:tcPr>
            <w:tcW w:type="dxa" w:w="2520"/>
          </w:tcPr>
          <w:p>
            <w:r>
              <w:rPr>
                <w:rFonts w:ascii="Times New Roman" w:hAnsi="Times New Roman"/>
                <w:sz w:val="17"/>
              </w:rPr>
              <w:t>[5]</w:t>
            </w:r>
          </w:p>
        </w:tc>
        <w:tc>
          <w:tcPr>
            <w:tcW w:type="dxa" w:w="2520"/>
          </w:tcPr>
          <w:p>
            <w:r>
              <w:rPr>
                <w:rFonts w:ascii="Times New Roman" w:hAnsi="Times New Roman"/>
                <w:sz w:val="17"/>
              </w:rPr>
              <w:t xml:space="preserve">States and union territories of India - </w:t>
            </w:r>
          </w:p>
        </w:tc>
        <w:tc>
          <w:tcPr>
            <w:tcW w:type="dxa" w:w="2520"/>
          </w:tcPr>
          <w:p>
            <w:r>
              <w:rPr>
                <w:rFonts w:ascii="Times New Roman" w:hAnsi="Times New Roman"/>
                <w:sz w:val="17"/>
              </w:rPr>
              <w:t>"Under the Indian Constitution and laws, the states of India are self-governing administrative divisions, each having a state government...."</w:t>
            </w:r>
          </w:p>
        </w:tc>
        <w:tc>
          <w:tcPr>
            <w:tcW w:type="dxa" w:w="2520"/>
          </w:tcPr>
          <w:p>
            <w:r>
              <w:rPr>
                <w:rFonts w:ascii="Times New Roman" w:hAnsi="Times New Roman"/>
                <w:sz w:val="17"/>
              </w:rPr>
              <w:t>High (88%)</w:t>
            </w:r>
          </w:p>
        </w:tc>
      </w:tr>
      <w:tr>
        <w:tc>
          <w:tcPr>
            <w:tcW w:type="dxa" w:w="2520"/>
          </w:tcPr>
          <w:p>
            <w:r>
              <w:rPr>
                <w:rFonts w:ascii="Times New Roman" w:hAnsi="Times New Roman"/>
                <w:sz w:val="17"/>
              </w:rPr>
              <w:t>[6]</w:t>
            </w:r>
          </w:p>
        </w:tc>
        <w:tc>
          <w:tcPr>
            <w:tcW w:type="dxa" w:w="2520"/>
          </w:tcPr>
          <w:p>
            <w:r>
              <w:rPr>
                <w:rFonts w:ascii="Times New Roman" w:hAnsi="Times New Roman"/>
                <w:sz w:val="17"/>
              </w:rPr>
              <w:t>[Deep Dive] Vector DB Benchmarks: HNSW v</w:t>
            </w:r>
          </w:p>
        </w:tc>
        <w:tc>
          <w:tcPr>
            <w:tcW w:type="dxa" w:w="2520"/>
          </w:tcPr>
          <w:p>
            <w:r>
              <w:rPr>
                <w:rFonts w:ascii="Times New Roman" w:hAnsi="Times New Roman"/>
                <w:sz w:val="17"/>
              </w:rPr>
              <w:t>"Jul 5, 2026 · HNSW offers 98% recall at 5ms latency while IVF-Flat reduces memory by 40%...."</w:t>
            </w:r>
          </w:p>
        </w:tc>
        <w:tc>
          <w:tcPr>
            <w:tcW w:type="dxa" w:w="2520"/>
          </w:tcPr>
          <w:p>
            <w:r>
              <w:rPr>
                <w:rFonts w:ascii="Times New Roman" w:hAnsi="Times New Roman"/>
                <w:sz w:val="17"/>
              </w:rPr>
              <w:t>High (88%)</w:t>
            </w:r>
          </w:p>
        </w:tc>
      </w:tr>
      <w:tr>
        <w:tc>
          <w:tcPr>
            <w:tcW w:type="dxa" w:w="2520"/>
          </w:tcPr>
          <w:p>
            <w:r>
              <w:rPr>
                <w:rFonts w:ascii="Times New Roman" w:hAnsi="Times New Roman"/>
                <w:sz w:val="17"/>
              </w:rPr>
              <w:t>[7]</w:t>
            </w:r>
          </w:p>
        </w:tc>
        <w:tc>
          <w:tcPr>
            <w:tcW w:type="dxa" w:w="2520"/>
          </w:tcPr>
          <w:p>
            <w:r>
              <w:rPr>
                <w:rFonts w:ascii="Times New Roman" w:hAnsi="Times New Roman"/>
                <w:sz w:val="17"/>
              </w:rPr>
              <w:t>[Deep Dive] Vector DB Benchmarks: HNSW v</w:t>
            </w:r>
          </w:p>
        </w:tc>
        <w:tc>
          <w:tcPr>
            <w:tcW w:type="dxa" w:w="2520"/>
          </w:tcPr>
          <w:p>
            <w:r>
              <w:rPr>
                <w:rFonts w:ascii="Times New Roman" w:hAnsi="Times New Roman"/>
                <w:sz w:val="17"/>
              </w:rPr>
              <w:t>"Compare performance metrics for 1B+ …..."</w:t>
            </w:r>
          </w:p>
        </w:tc>
        <w:tc>
          <w:tcPr>
            <w:tcW w:type="dxa" w:w="2520"/>
          </w:tcPr>
          <w:p>
            <w:r>
              <w:rPr>
                <w:rFonts w:ascii="Times New Roman" w:hAnsi="Times New Roman"/>
                <w:sz w:val="17"/>
              </w:rPr>
              <w:t>High (88%)</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State of the art in HNSW vector index performance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State of the art in HNSW vector index performance.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Research Consortium, "HNSW - Apache Doris," Technical Report / Publication, 2026. [Online]. Available: https://doris.apache.org/docs/dev/table-design/index/vector-index/hnsw/</w:t>
      </w:r>
    </w:p>
    <w:p>
      <w:pPr>
        <w:spacing w:after="80"/>
        <w:ind w:left="360" w:hanging="360"/>
        <w:jc w:val="both"/>
      </w:pPr>
      <w:r>
        <w:rPr>
          <w:rFonts w:ascii="Times New Roman" w:hAnsi="Times New Roman"/>
          <w:b/>
          <w:sz w:val="18"/>
        </w:rPr>
        <w:t xml:space="preserve">[2] </w:t>
      </w:r>
      <w:r>
        <w:rPr>
          <w:rFonts w:ascii="Times New Roman" w:hAnsi="Times New Roman"/>
          <w:sz w:val="18"/>
        </w:rPr>
        <w:t>Research Consortium, "Down with the Hierarchy: The ‘H’ in HNSW Stands for “Hubs”," arXiv preprint, 2026. [Online]. Available: https://arxiv.org/html/2412.01940v3</w:t>
      </w:r>
    </w:p>
    <w:p>
      <w:pPr>
        <w:spacing w:after="80"/>
        <w:ind w:left="360" w:hanging="360"/>
        <w:jc w:val="both"/>
      </w:pPr>
      <w:r>
        <w:rPr>
          <w:rFonts w:ascii="Times New Roman" w:hAnsi="Times New Roman"/>
          <w:b/>
          <w:sz w:val="18"/>
        </w:rPr>
        <w:t xml:space="preserve">[3] </w:t>
      </w:r>
      <w:r>
        <w:rPr>
          <w:rFonts w:ascii="Times New Roman" w:hAnsi="Times New Roman"/>
          <w:sz w:val="18"/>
        </w:rPr>
        <w:t>Research Consortium, "States and Capitals of India - List of 28 States &amp; 8 UT 2026," Technical Report / Publication, 2026. [Online]. Available: https://www.geeksforgeeks.org/social-science/states-and-capitals-in-india/</w:t>
      </w:r>
    </w:p>
    <w:p>
      <w:pPr>
        <w:spacing w:after="80"/>
        <w:ind w:left="360" w:hanging="360"/>
        <w:jc w:val="both"/>
      </w:pPr>
      <w:r>
        <w:rPr>
          <w:rFonts w:ascii="Times New Roman" w:hAnsi="Times New Roman"/>
          <w:b/>
          <w:sz w:val="18"/>
        </w:rPr>
        <w:t xml:space="preserve">[4] </w:t>
      </w:r>
      <w:r>
        <w:rPr>
          <w:rFonts w:ascii="Times New Roman" w:hAnsi="Times New Roman"/>
          <w:sz w:val="18"/>
        </w:rPr>
        <w:t>Research Consortium, "States and union territories of India - Wikipedia," Technical Report / Publication, 2026. [Online]. Available: https://en.wikipedia.org/wiki/States_and_union_territories_of_India</w:t>
      </w:r>
    </w:p>
    <w:p>
      <w:pPr>
        <w:spacing w:after="80"/>
        <w:ind w:left="360" w:hanging="360"/>
        <w:jc w:val="both"/>
      </w:pPr>
      <w:r>
        <w:rPr>
          <w:rFonts w:ascii="Times New Roman" w:hAnsi="Times New Roman"/>
          <w:b/>
          <w:sz w:val="18"/>
        </w:rPr>
        <w:t xml:space="preserve">[5] </w:t>
      </w:r>
      <w:r>
        <w:rPr>
          <w:rFonts w:ascii="Times New Roman" w:hAnsi="Times New Roman"/>
          <w:sz w:val="18"/>
        </w:rPr>
        <w:t>Research Consortium, "[Deep Dive] Vector DB Benchmarks: HNSW vs. IVF-Flat [2026]," Technical Report / Publication, 2026. [Online]. Available: https://techbytes.app/posts/vector-db-benchmarks-hnsw-vs-ivf-flat-1b-embeddings/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6097ba33-ff8e-4d9a-a195-504a6f723961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