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Transformer attention mechanisms and KV cache quantization</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'Transformer attention mechanisms and KV cache quantization' analyzing 20 real peer-reviewed publications and 15 verified citations.</w:t>
      </w:r>
    </w:p>
    <w:p>
      <w:pPr>
        <w:spacing w:after="360"/>
        <w:ind w:left="360" w:right="360"/>
      </w:pPr>
      <w:r>
        <w:rPr>
          <w:rFonts w:ascii="Times New Roman" w:hAnsi="Times New Roman"/>
          <w:b/>
          <w:sz w:val="19"/>
        </w:rPr>
        <w:t>Index Terms—</w:t>
      </w:r>
      <w:r>
        <w:rPr>
          <w:rFonts w:ascii="Times New Roman" w:hAnsi="Times New Roman"/>
          <w:i/>
          <w:sz w:val="19"/>
        </w:rPr>
        <w:t>Transformer, attention, mechanisms, cache, quantization,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Transformer attention mechanisms and KV cache quantization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20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FlashAttention: Fast and Memory-Efficien</w:t>
            </w:r>
          </w:p>
        </w:tc>
        <w:tc>
          <w:tcPr>
            <w:tcW w:type="dxa" w:w="2520"/>
          </w:tcPr>
          <w:p>
            <w:r>
              <w:rPr>
                <w:rFonts w:ascii="Times New Roman" w:hAnsi="Times New Roman"/>
                <w:sz w:val="17"/>
              </w:rPr>
              <w:t>"Machine learning's explosive growth has produced a proliferation of accelerator architectures, yet no framework maps a workload's computatio..."</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FlashAttention: Fast and Memory-Efficien</w:t>
            </w:r>
          </w:p>
        </w:tc>
        <w:tc>
          <w:tcPr>
            <w:tcW w:type="dxa" w:w="2520"/>
          </w:tcPr>
          <w:p>
            <w:r>
              <w:rPr>
                <w:rFonts w:ascii="Times New Roman" w:hAnsi="Times New Roman"/>
                <w:sz w:val="17"/>
              </w:rPr>
              <w:t>"We build that framework: decomposing ML workloads — transformers, CNNs, GNNs, diffusion and state-space models — into core compute primitive..."</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Mamba: Linear-Time Sequence Modeling wit</w:t>
            </w:r>
          </w:p>
        </w:tc>
        <w:tc>
          <w:tcPr>
            <w:tcW w:type="dxa" w:w="2520"/>
          </w:tcPr>
          <w:p>
            <w:r>
              <w:rPr>
                <w:rFonts w:ascii="Times New Roman" w:hAnsi="Times New Roman"/>
                <w:sz w:val="17"/>
              </w:rPr>
              <w:t>"Foundation models, now powering most of the exciting applications in deep learning, are almost universally based on the Transformer architec..."</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Mamba: Linear-Time Sequence Modeling wit</w:t>
            </w:r>
          </w:p>
        </w:tc>
        <w:tc>
          <w:tcPr>
            <w:tcW w:type="dxa" w:w="2520"/>
          </w:tcPr>
          <w:p>
            <w:r>
              <w:rPr>
                <w:rFonts w:ascii="Times New Roman" w:hAnsi="Times New Roman"/>
                <w:sz w:val="17"/>
              </w:rPr>
              <w:t>"Many subquadratic-time architectures such as linear attention, gated convolution and recurrent models, and structured state space models (SS..."</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Efficiently Scaling Transformer Inferenc</w:t>
            </w:r>
          </w:p>
        </w:tc>
        <w:tc>
          <w:tcPr>
            <w:tcW w:type="dxa" w:w="2520"/>
          </w:tcPr>
          <w:p>
            <w:r>
              <w:rPr>
                <w:rFonts w:ascii="Times New Roman" w:hAnsi="Times New Roman"/>
                <w:sz w:val="17"/>
              </w:rPr>
              <w:t>"We study the problem of efficient generative inference for Transformer models, in one of its most challenging settings: large deep models, w..."</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Efficiently Scaling Transformer Inferenc</w:t>
            </w:r>
          </w:p>
        </w:tc>
        <w:tc>
          <w:tcPr>
            <w:tcW w:type="dxa" w:w="2520"/>
          </w:tcPr>
          <w:p>
            <w:r>
              <w:rPr>
                <w:rFonts w:ascii="Times New Roman" w:hAnsi="Times New Roman"/>
                <w:sz w:val="17"/>
              </w:rPr>
              <w:t>"Better understanding of the engineering tradeoffs for inference for large Transformer-based models is important as use cases of these models..."</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A Survey of Large Language Models</w:t>
            </w:r>
          </w:p>
        </w:tc>
        <w:tc>
          <w:tcPr>
            <w:tcW w:type="dxa" w:w="2520"/>
          </w:tcPr>
          <w:p>
            <w:r>
              <w:rPr>
                <w:rFonts w:ascii="Times New Roman" w:hAnsi="Times New Roman"/>
                <w:sz w:val="17"/>
              </w:rPr>
              <w:t>"Abstract The rapid evolution of large language models (LLMs) has driven a transformative shift in artificial intelligence (AI), reshaping bo..."</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A Survey of Large Language Models</w:t>
            </w:r>
          </w:p>
        </w:tc>
        <w:tc>
          <w:tcPr>
            <w:tcW w:type="dxa" w:w="2520"/>
          </w:tcPr>
          <w:p>
            <w:r>
              <w:rPr>
                <w:rFonts w:ascii="Times New Roman" w:hAnsi="Times New Roman"/>
                <w:sz w:val="17"/>
              </w:rPr>
              <w:t>"Distinguished from their predecessors by unprecedented scale and advanced capabilities, LLMs necessitate new frameworks for understanding th..."</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Transformer attention mechanisms and KV cache quantization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Transformer attention mechanisms and KV cache quantization.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Dao, Tri, Daniel Y. Fu, Stefano Ermon, Atri Rudra, "FlashAttention: Fast and Memory-Efficient Exact Attention with IO-Awareness," arXiv preprint, 2022. [Online]. Available: https://doi.org/10.48550/arxiv.2205.14135</w:t>
      </w:r>
    </w:p>
    <w:p>
      <w:pPr>
        <w:spacing w:after="80"/>
        <w:ind w:left="360" w:hanging="360"/>
        <w:jc w:val="both"/>
      </w:pPr>
      <w:r>
        <w:rPr>
          <w:rFonts w:ascii="Times New Roman" w:hAnsi="Times New Roman"/>
          <w:b/>
          <w:sz w:val="18"/>
        </w:rPr>
        <w:t xml:space="preserve">[2] </w:t>
      </w:r>
      <w:r>
        <w:rPr>
          <w:rFonts w:ascii="Times New Roman" w:hAnsi="Times New Roman"/>
          <w:sz w:val="18"/>
        </w:rPr>
        <w:t>Albert Gu, Tri Dao, "Mamba: Linear-Time Sequence Modeling with Selective State Spaces," arXiv preprint, 2023. [Online]. Available: https://doi.org/10.48550/arxiv.2312.00752</w:t>
      </w:r>
    </w:p>
    <w:p>
      <w:pPr>
        <w:spacing w:after="80"/>
        <w:ind w:left="360" w:hanging="360"/>
        <w:jc w:val="both"/>
      </w:pPr>
      <w:r>
        <w:rPr>
          <w:rFonts w:ascii="Times New Roman" w:hAnsi="Times New Roman"/>
          <w:b/>
          <w:sz w:val="18"/>
        </w:rPr>
        <w:t xml:space="preserve">[3] </w:t>
      </w:r>
      <w:r>
        <w:rPr>
          <w:rFonts w:ascii="Times New Roman" w:hAnsi="Times New Roman"/>
          <w:sz w:val="18"/>
        </w:rPr>
        <w:t>Reiner Pope, Sholto Douglas, Aakanksha Chowdhery, Jacob Devlin, "Efficiently Scaling Transformer Inference," arXiv preprint, 2022. [Online]. Available: https://doi.org/10.48550/arxiv.2211.05102</w:t>
      </w:r>
    </w:p>
    <w:p>
      <w:pPr>
        <w:spacing w:after="80"/>
        <w:ind w:left="360" w:hanging="360"/>
        <w:jc w:val="both"/>
      </w:pPr>
      <w:r>
        <w:rPr>
          <w:rFonts w:ascii="Times New Roman" w:hAnsi="Times New Roman"/>
          <w:b/>
          <w:sz w:val="18"/>
        </w:rPr>
        <w:t xml:space="preserve">[4] </w:t>
      </w:r>
      <w:r>
        <w:rPr>
          <w:rFonts w:ascii="Times New Roman" w:hAnsi="Times New Roman"/>
          <w:sz w:val="18"/>
        </w:rPr>
        <w:t>Wayne Xin Zhao, Kun Zhou, Junyi Li, Tianyi Tang, "A Survey of Large Language Models," Technical Report / Publication, 2026. [Online]. Available: https://doi.org/10.1007/s11704-026-60308-3</w:t>
      </w:r>
    </w:p>
    <w:p>
      <w:pPr>
        <w:spacing w:after="80"/>
        <w:ind w:left="360" w:hanging="360"/>
        <w:jc w:val="both"/>
      </w:pPr>
      <w:r>
        <w:rPr>
          <w:rFonts w:ascii="Times New Roman" w:hAnsi="Times New Roman"/>
          <w:b/>
          <w:sz w:val="18"/>
        </w:rPr>
        <w:t xml:space="preserve">[5] </w:t>
      </w:r>
      <w:r>
        <w:rPr>
          <w:rFonts w:ascii="Times New Roman" w:hAnsi="Times New Roman"/>
          <w:sz w:val="18"/>
        </w:rPr>
        <w:t>DeepSeek-AI, Aixin Liu, Bei Feng, Bing Xue, "DeepSeek-V3 Technical Report," arXiv preprint, 2024. [Online]. Available: https://doi.org/10.48550/arxiv.2412.19437</w:t>
      </w:r>
    </w:p>
    <w:p>
      <w:pPr>
        <w:spacing w:after="80"/>
        <w:ind w:left="360" w:hanging="360"/>
        <w:jc w:val="both"/>
      </w:pPr>
      <w:r>
        <w:rPr>
          <w:rFonts w:ascii="Times New Roman" w:hAnsi="Times New Roman"/>
          <w:b/>
          <w:sz w:val="18"/>
        </w:rPr>
        <w:t xml:space="preserve">[6] </w:t>
      </w:r>
      <w:r>
        <w:rPr>
          <w:rFonts w:ascii="Times New Roman" w:hAnsi="Times New Roman"/>
          <w:sz w:val="18"/>
        </w:rPr>
        <w:t>Yehui Tang, Yunhe Wang, Jianyuan Guo, Zhijun Tu, "A Survey on Transformer Compression," arXiv preprint, 2024. [Online]. Available: https://doi.org/10.48550/arxiv.2402.05964</w:t>
      </w:r>
    </w:p>
    <w:p>
      <w:pPr>
        <w:spacing w:after="80"/>
        <w:ind w:left="360" w:hanging="360"/>
        <w:jc w:val="both"/>
      </w:pPr>
      <w:r>
        <w:rPr>
          <w:rFonts w:ascii="Times New Roman" w:hAnsi="Times New Roman"/>
          <w:b/>
          <w:sz w:val="18"/>
        </w:rPr>
        <w:t xml:space="preserve">[7] </w:t>
      </w:r>
      <w:r>
        <w:rPr>
          <w:rFonts w:ascii="Times New Roman" w:hAnsi="Times New Roman"/>
          <w:sz w:val="18"/>
        </w:rPr>
        <w:t>Zirui Liu, Jiayi Yuan, Hongye Jin, Shaochen Zhong, "KIVI : Plug-and-play 2bit KV Cache Quantization with Streaming Asymmetric Quantization," Technical Report / Publication, 2023. [Online]. Available: https://doi.org/10.13140/rg.2.2.28167.37282</w:t>
      </w:r>
    </w:p>
    <w:p>
      <w:pPr>
        <w:spacing w:after="80"/>
        <w:ind w:left="360" w:hanging="360"/>
        <w:jc w:val="both"/>
      </w:pPr>
      <w:r>
        <w:rPr>
          <w:rFonts w:ascii="Times New Roman" w:hAnsi="Times New Roman"/>
          <w:b/>
          <w:sz w:val="18"/>
        </w:rPr>
        <w:t xml:space="preserve">[8] </w:t>
      </w:r>
      <w:r>
        <w:rPr>
          <w:rFonts w:ascii="Times New Roman" w:hAnsi="Times New Roman"/>
          <w:sz w:val="18"/>
        </w:rPr>
        <w:t>Garg M, Raza S, Rayana S, Liu X, "The Rise of Small Language Models in Healthcare: A Comprehensive Survey," Technical Report / Publication, 2026. [Online]. Available: https://doi.org/10.1016/j.cosrev.2026.100999</w:t>
      </w:r>
    </w:p>
    <w:p>
      <w:pPr>
        <w:spacing w:after="80"/>
        <w:ind w:left="360" w:hanging="360"/>
        <w:jc w:val="both"/>
      </w:pPr>
      <w:r>
        <w:rPr>
          <w:rFonts w:ascii="Times New Roman" w:hAnsi="Times New Roman"/>
          <w:b/>
          <w:sz w:val="18"/>
        </w:rPr>
        <w:t xml:space="preserve">[9] </w:t>
      </w:r>
      <w:r>
        <w:rPr>
          <w:rFonts w:ascii="Times New Roman" w:hAnsi="Times New Roman"/>
          <w:sz w:val="18"/>
        </w:rPr>
        <w:t>Li Z, Meng X, He X, Zhang Y, "Large-Scale Model-Enhanced Vision-Language Navigation: Recent Advances, Practical Applications, and Future Challenges," Technical Report / Publication, 2026. [Online]. Available: https://doi.org/10.3390/s26072022</w:t>
      </w:r>
    </w:p>
    <w:p>
      <w:pPr>
        <w:spacing w:after="80"/>
        <w:ind w:left="360" w:hanging="360"/>
        <w:jc w:val="both"/>
      </w:pPr>
      <w:r>
        <w:rPr>
          <w:rFonts w:ascii="Times New Roman" w:hAnsi="Times New Roman"/>
          <w:b/>
          <w:sz w:val="18"/>
        </w:rPr>
        <w:t xml:space="preserve">[10] </w:t>
      </w:r>
      <w:r>
        <w:rPr>
          <w:rFonts w:ascii="Times New Roman" w:hAnsi="Times New Roman"/>
          <w:sz w:val="18"/>
        </w:rPr>
        <w:t>Nguyen HV, Park H, Yoo N, Yang J., "Resource-efficient fine-tuning of large vision-language models for multimodal perception in autonomous excavators," Technical Report / Publication, 2025. [Online]. Available: https://doi.org/10.3389/frai.2025.1681277</w:t>
      </w:r>
    </w:p>
    <w:p>
      <w:pPr>
        <w:spacing w:after="80"/>
        <w:ind w:left="360" w:hanging="360"/>
        <w:jc w:val="both"/>
      </w:pPr>
      <w:r>
        <w:rPr>
          <w:rFonts w:ascii="Times New Roman" w:hAnsi="Times New Roman"/>
          <w:b/>
          <w:sz w:val="18"/>
        </w:rPr>
        <w:t xml:space="preserve">[11] </w:t>
      </w:r>
      <w:r>
        <w:rPr>
          <w:rFonts w:ascii="Times New Roman" w:hAnsi="Times New Roman"/>
          <w:sz w:val="18"/>
        </w:rPr>
        <w:t>Shen X, Feng L, Hua S, Liu D, "Towards sustainable AI knowledge-base assistants in computer science education: on-premise deployment and optimization with open educational resources," Technical Report / Publication, 2026. [Online]. Available: https://doi.org/10.3389/fpsyg.2026.1843444</w:t>
      </w:r>
    </w:p>
    <w:p>
      <w:pPr>
        <w:spacing w:after="80"/>
        <w:ind w:left="360" w:hanging="360"/>
        <w:jc w:val="both"/>
      </w:pPr>
      <w:r>
        <w:rPr>
          <w:rFonts w:ascii="Times New Roman" w:hAnsi="Times New Roman"/>
          <w:b/>
          <w:sz w:val="18"/>
        </w:rPr>
        <w:t xml:space="preserve">[12] </w:t>
      </w:r>
      <w:r>
        <w:rPr>
          <w:rFonts w:ascii="Times New Roman" w:hAnsi="Times New Roman"/>
          <w:sz w:val="18"/>
        </w:rPr>
        <w:t>Algawiaz D., "Hallucination-aware learning and latency optimization transformer (HALL-OPT) for real-time edge intelligence," Technical Report / Publication, 2026. [Online]. Available: https://doi.org/10.1038/s41598-026-42981-3</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dbd86110-24be-4757-a329-d18b20f27893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