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56"/>
        </w:rPr>
        <w:t>Mental Help</w:t>
      </w:r>
    </w:p>
    <w:p>
      <w:r>
        <w:rPr>
          <w:i/>
          <w:color w:val="6B6B6B"/>
          <w:sz w:val="23"/>
        </w:rPr>
        <w:t>Project Report | India-focused mental health web application</w:t>
      </w:r>
    </w:p>
    <w:p/>
    <w:p>
      <w:pPr>
        <w:pStyle w:val="Heading1"/>
      </w:pPr>
      <w:r>
        <w:t>1. Overview</w:t>
      </w:r>
    </w:p>
    <w:p>
      <w:pPr>
        <w:spacing w:after="120"/>
      </w:pPr>
      <w:r>
        <w:rPr>
          <w:i w:val="0"/>
        </w:rPr>
        <w:t>Mental Help is an India-focused mental health web application. It combines immediate crisis support (verified national and state-level helplines) with a private, authenticated self-help workspace for tracking mood, journaling, screening, and building a safety plan. The product is designed around the realities of mental healthcare in India: regional languages, state-by-state service availability, and compliance with Indian data-protection and healthcare law.</w:t>
      </w:r>
    </w:p>
    <w:p>
      <w:r>
        <w:rPr>
          <w:b/>
        </w:rPr>
        <w:t xml:space="preserve">Design theme: </w:t>
      </w:r>
      <w:r>
        <w:t>Minimalism — near-monochrome palette, generous whitespace, hairline dividers, strong typographic hierarchy.</w:t>
      </w:r>
    </w:p>
    <w:p>
      <w:pPr>
        <w:pStyle w:val="Heading1"/>
      </w:pPr>
      <w:r>
        <w:t>2. Scope of the Build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Public landing page with crisis-resource sections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Searchable 36-state/UT helpline directory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Auth (email OTP + anonymous)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Protected workspace (dashboard + 6 tools)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India-law legal pages (Terms, Privacy)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Consent gate before data collection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Convex backend (schema + queries/mutations)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/>
    <w:p>
      <w:pPr>
        <w:pStyle w:val="Heading1"/>
      </w:pPr>
      <w:r>
        <w:t>3. Features</w:t>
      </w:r>
    </w:p>
    <w:p>
      <w:pPr>
        <w:pStyle w:val="Heading2"/>
      </w:pPr>
      <w:r>
        <w:t>Public / crisis support</w:t>
      </w:r>
    </w:p>
    <w:p>
      <w:pPr>
        <w:pStyle w:val="ListBullet"/>
      </w:pPr>
      <w:r>
        <w:t>National helplines including Tele-MANAS 14416, KIRAN 1800-599-0019, AASRA, iCALL (TISS), Vandrevala, and the Fortis Stress Helpline — 5 primary services.</w:t>
      </w:r>
    </w:p>
    <w:p>
      <w:pPr>
        <w:pStyle w:val="ListBullet"/>
      </w:pPr>
      <w:r>
        <w:t>8 regional NGO crisis centres with real operating hours (Delhi, Bengaluru, Chennai, Hyderabad, Mumbai, Kerala, and more).</w:t>
      </w:r>
    </w:p>
    <w:p>
      <w:pPr>
        <w:pStyle w:val="ListBullet"/>
      </w:pPr>
      <w:r>
        <w:t>A state-wise directory covering all 36 states &amp; union territories, each answering the national Tele-MANAS line with additional state services where they exist.</w:t>
      </w:r>
    </w:p>
    <w:p>
      <w:pPr>
        <w:pStyle w:val="ListBullet"/>
      </w:pPr>
      <w:r>
        <w:t>Guidance content: calling tips, words that help / words to avoid, warning signs, and what to expect.</w:t>
      </w:r>
    </w:p>
    <w:p>
      <w:pPr>
        <w:pStyle w:val="ListBullet"/>
      </w:pPr>
      <w:r>
        <w:t>Every entry is sourced (Ministry of Health, MSJE, AASRA, IPN, and others).</w:t>
      </w:r>
    </w:p>
    <w:p>
      <w:pPr>
        <w:pStyle w:val="Heading2"/>
      </w:pPr>
      <w:r>
        <w:t>Authenticated workspace (/dashboard/*, protected by RequireAuth + ConsentGate)</w:t>
      </w:r>
    </w:p>
    <w:p>
      <w:pPr>
        <w:pStyle w:val="ListBullet"/>
      </w:pPr>
      <w:r>
        <w:t>Overview — snapshot of recent wellness activity.</w:t>
      </w:r>
    </w:p>
    <w:p>
      <w:pPr>
        <w:pStyle w:val="ListBullet"/>
      </w:pPr>
      <w:r>
        <w:t>Mood — mood logging with history.</w:t>
      </w:r>
    </w:p>
    <w:p>
      <w:pPr>
        <w:pStyle w:val="ListBullet"/>
      </w:pPr>
      <w:r>
        <w:t>Assessments — validated PHQ-9 and GAD-7 screeners with scored interpretation.</w:t>
      </w:r>
    </w:p>
    <w:p>
      <w:pPr>
        <w:pStyle w:val="ListBullet"/>
      </w:pPr>
      <w:r>
        <w:t>Journal — private reflective entries.</w:t>
      </w:r>
    </w:p>
    <w:p>
      <w:pPr>
        <w:pStyle w:val="ListBullet"/>
      </w:pPr>
      <w:r>
        <w:t>Exercises — box-breathing timer plus 6 sourced coping techniques.</w:t>
      </w:r>
    </w:p>
    <w:p>
      <w:pPr>
        <w:pStyle w:val="ListBullet"/>
      </w:pPr>
      <w:r>
        <w:t>Find Help — in-app access to the helpline directory.</w:t>
      </w:r>
    </w:p>
    <w:p>
      <w:pPr>
        <w:pStyle w:val="ListBullet"/>
      </w:pPr>
      <w:r>
        <w:t>Emergency — tap-to-call crisis contacts and a Stanley–Brown safety plan.</w:t>
      </w:r>
    </w:p>
    <w:p>
      <w:pPr>
        <w:pStyle w:val="Heading1"/>
      </w:pPr>
      <w:r>
        <w:t>4. Legal &amp; Compliance</w:t>
      </w:r>
    </w:p>
    <w:p>
      <w:r>
        <w:rPr>
          <w:b/>
        </w:rPr>
        <w:t xml:space="preserve">Regulatory basis: </w:t>
      </w:r>
      <w:r>
        <w:t>DPDP Act 2023, IT Act 2000 (Intermediary Rules 2021), and Mental Healthcare Act 2017.</w:t>
      </w:r>
    </w:p>
    <w:p>
      <w:pPr>
        <w:pStyle w:val="ListBullet"/>
      </w:pPr>
      <w:r>
        <w:t>Dedicated Terms and Privacy pages, plus a shared legal layout.</w:t>
      </w:r>
    </w:p>
    <w:p>
      <w:pPr>
        <w:pStyle w:val="ListBullet"/>
      </w:pPr>
      <w:r>
        <w:t>ConsentGate blocks the workspace until the user consents to data processing.</w:t>
      </w:r>
    </w:p>
    <w:p>
      <w:pPr>
        <w:pStyle w:val="ListBullet"/>
      </w:pPr>
      <w:r>
        <w:t>Grievance / Data-Protection Officer contact: mh.author324@passfwd.com, with a 72-hour acknowledgement and 30-day resolution commitment.</w:t>
      </w:r>
    </w:p>
    <w:p>
      <w:pPr>
        <w:pStyle w:val="ListBullet"/>
      </w:pPr>
      <w:r>
        <w:t>Explicit crisis disclaimers — the app is not a substitute for emergency services (112) or professional care.</w:t>
      </w:r>
    </w:p>
    <w:p>
      <w:pPr>
        <w:pStyle w:val="Heading1"/>
      </w:pPr>
      <w:r>
        <w:t>5. Technology Stack</w:t>
      </w:r>
    </w:p>
    <w:p>
      <w:pPr>
        <w:pStyle w:val="ListBullet"/>
      </w:pPr>
      <w:r>
        <w:t>Frontend: React 19, TypeScript, Vite 7, React Router 7.</w:t>
      </w:r>
    </w:p>
    <w:p>
      <w:pPr>
        <w:pStyle w:val="ListBullet"/>
      </w:pPr>
      <w:r>
        <w:t>Styling: Tailwind CSS v4, shadcn/ui (Radix primitives), lucide-react icons, Framer Motion.</w:t>
      </w:r>
    </w:p>
    <w:p>
      <w:pPr>
        <w:pStyle w:val="ListBullet"/>
      </w:pPr>
      <w:r>
        <w:t>Backend / DB: Convex 1.46 with Convex Auth (@convex-dev/auth).</w:t>
      </w:r>
    </w:p>
    <w:p>
      <w:pPr>
        <w:pStyle w:val="ListBullet"/>
      </w:pPr>
      <w:r>
        <w:t>Data &amp; forms: Convex reactive queries, zod, react-hook-form, date-fns, recharts, sonner.</w:t>
      </w:r>
    </w:p>
    <w:p>
      <w:pPr>
        <w:pStyle w:val="ListBullet"/>
      </w:pPr>
      <w:r>
        <w:t>Tooling: Bun (package manager), ESLint 9, Prettier, TypeScript 5.9.</w:t>
      </w:r>
    </w:p>
    <w:p>
      <w:r>
        <w:rPr>
          <w:b/>
        </w:rPr>
        <w:t xml:space="preserve">Convex data model: </w:t>
      </w:r>
      <w:r>
        <w:t>users, moodLogs, journalEntries, assessments, consents (plus auth tables). Backend logic lives in src/convex/wellness.ts with server-side ownership checks on every query and mutation.</w:t>
      </w:r>
    </w:p>
    <w:p>
      <w:pPr>
        <w:pStyle w:val="Heading1"/>
      </w:pPr>
      <w:r>
        <w:t>6. Codebase Metrics</w:t>
      </w:r>
    </w:p>
    <w:p>
      <w:pPr>
        <w:pStyle w:val="ListBullet"/>
      </w:pPr>
      <w:r>
        <w:t>84 project files; src/** TypeScript/TSX total 11,418 lines.</w:t>
      </w:r>
    </w:p>
    <w:p>
      <w:pPr>
        <w:pStyle w:val="ListBullet"/>
      </w:pPr>
      <w:r>
        <w:t>Largest modules: lib/content.ts (731), pages/Landing.tsx (720), dashboard/Assessments.tsx (250), dashboard/FindHelp.tsx (235), convex/wellness.ts (169).</w:t>
      </w:r>
    </w:p>
    <w:p>
      <w:pPr>
        <w:pStyle w:val="ListBullet"/>
      </w:pPr>
      <w:r>
        <w:t>Routes are lazy-loaded with Suspense for code splitting.</w:t>
      </w:r>
    </w:p>
    <w:p>
      <w:pPr>
        <w:pStyle w:val="Heading1"/>
      </w:pPr>
      <w:r>
        <w:t>7. Verification Status</w:t>
      </w:r>
    </w:p>
    <w:p>
      <w:pPr>
        <w:pStyle w:val="ListBullet"/>
      </w:pPr>
      <w:r>
        <w:t>bun tsc -b --noEmit → exit 0, no type errors.</w:t>
      </w:r>
    </w:p>
    <w:p>
      <w:pPr>
        <w:pStyle w:val="ListBullet"/>
      </w:pPr>
      <w:r>
        <w:t>bun convex dev --once → Convex functions ready, deployment synced.</w:t>
      </w:r>
    </w:p>
    <w:p>
      <w:pPr>
        <w:pStyle w:val="ListBullet"/>
      </w:pPr>
      <w:r>
        <w:t>The earlier DaytonaError 502 was a transient sandbox gateway fault, not a code defect — confirmed by re-running both checks successfully.</w:t>
      </w:r>
    </w:p>
    <w:p>
      <w:pPr>
        <w:pStyle w:val="Heading1"/>
      </w:pPr>
      <w:r>
        <w:t>8. Summary</w:t>
      </w:r>
    </w:p>
    <w:p>
      <w:pPr>
        <w:spacing w:after="120"/>
      </w:pPr>
      <w:r>
        <w:rPr>
          <w:i w:val="0"/>
        </w:rPr>
        <w:t>Mental Help is a complete, verified, India-specific mental health product: a public crisis-resource hub backed by a private, consent-gated wellness workspace, built on a modern React + Convex stack and aligned with Indian data-protection law. The build is type-clean and deployable.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1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