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PHAN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Ms. Jia LIU</w:t>
      </w:r>
    </w:p>
    <w:p w14:paraId="2ECCF92C" w14:textId="1ECE6318"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bookmarkStart w:id="1" w:name="_GoBack"/>
      <w:bookmarkEnd w:id="1"/>
      <w:r w:rsidR="003E49B4" w:rsidRPr="003E49B4">
        <w:rPr>
          <w:rFonts w:ascii="Barlow" w:hAnsi="Barlow"/>
          <w:lang w:val="en-AU"/>
        </w:rPr>
        <w:t>4 weeks initial booking with potential extending until Jia LIU turns 18 years old.</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5/20 Lambeth Street, Panania, NSW, 2213</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0417 422 045</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00 0000 0000</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Phanhuan@hotmail.com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None</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No</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Bao Khiet Huan - Vietnamese; Thi Cam Thao - Vietnamese;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No</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No</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Bao Khiet Huan</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Father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47</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IT systems support</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WWC1188489E                                                                                                                                                                                                                                                             13 Dec 2021</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Thi Cam Thao</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39</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Property Manager</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WWC1188489E                                                                                                                                                                                                                                                             08 Dec 2021</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Moya</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Daughter</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Female</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11</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Aaron</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Son</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Male</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6</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lastRenderedPageBreak/>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The PHAN family has recently joined Global experience and are very caring and loving.
                                                                                                                                                                                                                                                             They are a family of four, Henry the host father, Thi the host mother, their daughter Moya (10 years old) and son Aaron (5 years old). They enjoy outdoor activities such as swimming and jogging. Moya’s hobbies are drawing and swimming. They mainly speak English at home. 
                                                                                                                                                                                                                                                             They live in a very nice house located in Panania, very close to the Train Station (Only 8-minute walk). The house is also located close to local shops and other places of intertest.
                                                                                                                                                                                                                                                             They are always keen to welcoming international students to their lovely home. 
                                                                                                                                                                                                                                                             </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25F7E" w14:textId="77777777" w:rsidR="00385544" w:rsidRDefault="00385544">
      <w:pPr>
        <w:spacing w:after="0"/>
      </w:pPr>
      <w:r>
        <w:separator/>
      </w:r>
    </w:p>
  </w:endnote>
  <w:endnote w:type="continuationSeparator" w:id="0">
    <w:p w14:paraId="3B3718D1" w14:textId="77777777" w:rsidR="00385544" w:rsidRDefault="003855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385544">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48AA7" w14:textId="77777777" w:rsidR="00385544" w:rsidRDefault="00385544">
      <w:pPr>
        <w:spacing w:after="0"/>
      </w:pPr>
      <w:r>
        <w:separator/>
      </w:r>
    </w:p>
  </w:footnote>
  <w:footnote w:type="continuationSeparator" w:id="0">
    <w:p w14:paraId="4395C398" w14:textId="77777777" w:rsidR="00385544" w:rsidRDefault="003855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385544"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2E47C4"/>
    <w:rsid w:val="0032442B"/>
    <w:rsid w:val="00362CCF"/>
    <w:rsid w:val="00380952"/>
    <w:rsid w:val="00385544"/>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25A6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B19AD"/>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24</cp:revision>
  <cp:lastPrinted>2018-03-27T03:46:00Z</cp:lastPrinted>
  <dcterms:created xsi:type="dcterms:W3CDTF">2019-02-21T06:33:00Z</dcterms:created>
  <dcterms:modified xsi:type="dcterms:W3CDTF">2019-09-02T06:38:00Z</dcterms:modified>
</cp:coreProperties>
</file>