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1564" w:type="dxa"/>
        <w:jc w:val="start"/>
        <w:tblInd w:w="-905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03"/>
        <w:gridCol w:w="3283"/>
        <w:gridCol w:w="3600"/>
        <w:gridCol w:w="3078"/>
      </w:tblGrid>
      <w:tr>
        <w:trPr>
          <w:tblHeader w:val="true"/>
        </w:trPr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Name (Record)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Purpose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Typical structure content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Usage example</w:t>
            </w:r>
          </w:p>
        </w:tc>
      </w:tr>
      <w:tr>
        <w:trPr/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Reference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The lightest nesting, a pure reference to a resource. It is nested within Info and Summary.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Only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id</w:t>
            </w:r>
            <w:r>
              <w:rPr>
                <w:rFonts w:ascii="Google Sans Text;sans-serif" w:hAnsi="Google Sans Text;sans-serif"/>
                <w:color w:val="1F1F1F"/>
              </w:rPr>
              <w:t xml:space="preserve">,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name</w:t>
            </w:r>
            <w:r>
              <w:rPr>
                <w:rFonts w:ascii="Google Sans Text;sans-serif" w:hAnsi="Google Sans Text;sans-serif"/>
                <w:color w:val="1F1F1F"/>
              </w:rPr>
              <w:t xml:space="preserve"> (or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title</w:t>
            </w:r>
            <w:r>
              <w:rPr>
                <w:rFonts w:ascii="Google Sans Text;sans-serif" w:hAnsi="Google Sans Text;sans-serif"/>
                <w:color w:val="1F1F1F"/>
              </w:rPr>
              <w:t>).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Genre information nested in the list of all songs.</w:t>
            </w:r>
          </w:p>
        </w:tc>
      </w:tr>
      <w:tr>
        <w:trPr/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Basic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Intermediate nesting, when the reference alone is not enough. Most often in the details view of a parent object.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Fields from Reference + 1 or 2 key attributes (e.g.,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coverUrl</w:t>
            </w:r>
            <w:r>
              <w:rPr>
                <w:rFonts w:ascii="Google Sans Text;sans-serif" w:hAnsi="Google Sans Text;sans-serif"/>
                <w:color w:val="1F1F1F"/>
              </w:rPr>
              <w:t xml:space="preserve">,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order</w:t>
            </w:r>
            <w:r>
              <w:rPr>
                <w:rFonts w:ascii="Google Sans Text;sans-serif" w:hAnsi="Google Sans Text;sans-serif"/>
                <w:color w:val="1F1F1F"/>
              </w:rPr>
              <w:t>).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Artist view along with their avatar inside the details of a specific song.</w:t>
            </w:r>
          </w:p>
        </w:tc>
      </w:tr>
      <w:tr>
        <w:trPr/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Summary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Bulk view, a list element of its own entity.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Basic entity fields + very light nesting (only Reference).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A single array element returned from the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GET /songs</w:t>
            </w:r>
            <w:r>
              <w:rPr>
                <w:rFonts w:ascii="Google Sans Text;sans-serif" w:hAnsi="Google Sans Text;sans-serif"/>
                <w:color w:val="1F1F1F"/>
              </w:rPr>
              <w:t xml:space="preserve"> endpoint.</w:t>
            </w:r>
          </w:p>
        </w:tc>
      </w:tr>
      <w:tr>
        <w:trPr/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Details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Detailed view of a single resource of its own entity.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 complete set of exposed fields + deeper nesting (Basic or other lists).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Response returned from the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GET /songs/{id}</w:t>
            </w:r>
            <w:r>
              <w:rPr>
                <w:rFonts w:ascii="Google Sans Text;sans-serif" w:hAnsi="Google Sans Text;sans-serif"/>
                <w:color w:val="1F1F1F"/>
              </w:rPr>
              <w:t xml:space="preserve"> endpoint.</w:t>
            </w:r>
          </w:p>
        </w:tc>
      </w:tr>
      <w:tr>
        <w:trPr/>
        <w:tc>
          <w:tcPr>
            <w:tcW w:w="1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Info</w:t>
            </w:r>
          </w:p>
        </w:tc>
        <w:tc>
          <w:tcPr>
            <w:tcW w:w="32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Entity state returned after modifying operations.</w:t>
            </w:r>
          </w:p>
        </w:tc>
        <w:tc>
          <w:tcPr>
            <w:tcW w:w="36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Fields confirming the current state after modification (nested exclusively as references).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xyzUrl</w:t>
            </w:r>
            <w:r>
              <w:rPr>
                <w:rFonts w:ascii="Google Sans Text;sans-serif" w:hAnsi="Google Sans Text;sans-serif"/>
                <w:color w:val="1F1F1F"/>
              </w:rPr>
              <w:t xml:space="preserve"> is never updated from regular C/U operations so it is not returned - HATEOAS in the future.</w:t>
            </w:r>
          </w:p>
        </w:tc>
        <w:tc>
          <w:tcPr>
            <w:tcW w:w="30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Object returned by the service in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create</w:t>
            </w:r>
            <w:r>
              <w:rPr>
                <w:rFonts w:ascii="Google Sans Text;sans-serif" w:hAnsi="Google Sans Text;sans-serif"/>
                <w:color w:val="1F1F1F"/>
              </w:rPr>
              <w:t xml:space="preserve"> and </w:t>
            </w:r>
            <w:r>
              <w:rPr>
                <w:rStyle w:val="Tekstrdowyuser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00"/>
                    </w14:srgbClr>
                  </w14:solidFill>
                </w14:textFill>
              </w:rPr>
              <w:t>update</w:t>
            </w:r>
            <w:r>
              <w:rPr>
                <w:rFonts w:ascii="Google Sans Text;sans-serif" w:hAnsi="Google Sans Text;sans-serif"/>
                <w:color w:val="1F1F1F"/>
              </w:rPr>
              <w:t xml:space="preserve"> operations.</w:t>
            </w:r>
          </w:p>
        </w:tc>
      </w:tr>
      <w:tr>
        <w:trPr/>
        <w:tc>
          <w:tcPr>
            <w:tcW w:w="1603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API DTOs (</w:t>
            </w:r>
            <w:r>
              <w:rPr>
                <w:rStyle w:val="Tekstrdowy"/>
                <w:rFonts w:ascii="Google Sans Text;sans-serif" w:hAnsi="Google Sans Text;sans-serif"/>
                <w:b/>
                <w:color w:val="1F1F1F"/>
              </w:rPr>
              <w:t>*ApiDto</w:t>
            </w:r>
            <w:r>
              <w:rPr>
                <w:rFonts w:ascii="Google Sans Text;sans-serif" w:hAnsi="Google Sans Text;sans-serif"/>
                <w:b/>
                <w:color w:val="1F1F1F"/>
              </w:rPr>
              <w:t xml:space="preserve">) </w:t>
            </w:r>
          </w:p>
        </w:tc>
        <w:tc>
          <w:tcPr>
            <w:tcW w:w="3283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 xml:space="preserve">Separation of the web layer from the domain logic. Holds Swagger documentation and validation rules. </w:t>
            </w:r>
          </w:p>
        </w:tc>
        <w:tc>
          <w:tcPr>
            <w:tcW w:w="3600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/>
              <w:t>Mirrors domain DTOs but includes framework-specific annotations (</w:t>
            </w:r>
            <w:r>
              <w:rPr>
                <w:rStyle w:val="Tekstrdowy"/>
              </w:rPr>
              <w:t>@Schema</w:t>
            </w:r>
            <w:r>
              <w:rPr/>
              <w:t xml:space="preserve">, </w:t>
            </w:r>
            <w:r>
              <w:rPr>
                <w:rStyle w:val="Tekstrdowy"/>
              </w:rPr>
              <w:t>@NotBlank</w:t>
            </w:r>
            <w:r>
              <w:rPr/>
              <w:t xml:space="preserve">, etc.). Grouped inside a unified interface. </w:t>
            </w:r>
          </w:p>
        </w:tc>
        <w:tc>
          <w:tcPr>
            <w:tcW w:w="3078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kstrdowy"/>
              </w:rPr>
              <w:t>GenreApiDto.DetailsResponse</w:t>
            </w:r>
            <w:r>
              <w:rPr/>
              <w:t xml:space="preserve"> returned directly by the </w:t>
            </w:r>
            <w:r>
              <w:rPr>
                <w:rStyle w:val="Tekstrdowy"/>
              </w:rPr>
              <w:t>@RestController</w:t>
            </w:r>
            <w:r>
              <w:rPr/>
              <w:t xml:space="preserve">. </w:t>
            </w:r>
          </w:p>
        </w:tc>
      </w:tr>
      <w:tr>
        <w:trPr/>
        <w:tc>
          <w:tcPr>
            <w:tcW w:w="1603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 xml:space="preserve">Structural Repeatability </w:t>
            </w:r>
          </w:p>
        </w:tc>
        <w:tc>
          <w:tcPr>
            <w:tcW w:w="3283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 xml:space="preserve">Maintains consistent API architecture across all entities and allows independent evolution of contracts. </w:t>
            </w:r>
          </w:p>
        </w:tc>
        <w:tc>
          <w:tcPr>
            <w:tcW w:w="3600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/>
              <w:t xml:space="preserve">Distinct records with identical fields (bypassing the DRY principle for contracts). </w:t>
            </w:r>
          </w:p>
        </w:tc>
        <w:tc>
          <w:tcPr>
            <w:tcW w:w="3078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Zawartotabeliuser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/>
              <w:t xml:space="preserve">Creating separate </w:t>
            </w:r>
            <w:r>
              <w:rPr>
                <w:rStyle w:val="Tekstrdowy"/>
              </w:rPr>
              <w:t>GenreApiDto.SummaryResponse</w:t>
            </w:r>
            <w:r>
              <w:rPr/>
              <w:t xml:space="preserve"> and </w:t>
            </w:r>
            <w:r>
              <w:rPr>
                <w:rStyle w:val="Tekstrdowy"/>
              </w:rPr>
              <w:t>GenreApiDto.DetailsResponse</w:t>
            </w:r>
            <w:r>
              <w:rPr/>
              <w:t xml:space="preserve"> even if both currently only contain </w:t>
            </w:r>
            <w:r>
              <w:rPr>
                <w:rStyle w:val="Tekstrdowy"/>
              </w:rPr>
              <w:t>id</w:t>
            </w:r>
            <w:r>
              <w:rPr/>
              <w:t xml:space="preserve"> and </w:t>
            </w:r>
            <w:r>
              <w:rPr>
                <w:rStyle w:val="Tekstrdowy"/>
              </w:rPr>
              <w:t>name</w:t>
            </w:r>
            <w:r>
              <w:rPr/>
              <w:t xml:space="preserve">. 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Google Sans Text">
    <w:altName w:val="sans-serif"/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mailMerge>
    <w:mainDocumentType w:val="formLetters"/>
    <w:dataType w:val="textFile"/>
    <w:query w:val="SELECT * FROM Adresy1.dbo.Arkusz1$"/>
  </w:mailMerge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character" w:styleId="Strong">
    <w:name w:val="Strong"/>
    <w:qFormat/>
    <w:rPr>
      <w:b/>
      <w:bCs/>
    </w:rPr>
  </w:style>
  <w:style w:type="character" w:styleId="Tekstrdowyuser">
    <w:name w:val="Tekst źródłowy (user)"/>
    <w:qFormat/>
    <w:rPr>
      <w:rFonts w:ascii="Liberation Mono" w:hAnsi="Liberation Mono" w:eastAsia="NSimSun" w:cs="Liberation Mono"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269</Words>
  <Characters>1568</Characters>
  <CharactersWithSpaces>1813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2026-08-19T17:01:56Z</dcterms:created>
  <dc:creator/>
  <dc:description/>
  <dc:language>pl-PL</dc:language>
  <cp:lastModifiedBy/>
  <dcterms:modified xsi:type="dcterms:W3CDTF">2026-08-19T17:32:52Z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