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egoe UI" w:hAnsi="Segoe UI"/>
          <w:b/>
          <w:color w:val="1F4E79"/>
          <w:sz w:val="48"/>
        </w:rPr>
        <w:t>SecureShare — Final Capstone Project Report</w:t>
      </w:r>
    </w:p>
    <w:p>
      <w:pPr>
        <w:jc w:val="center"/>
      </w:pPr>
      <w:r>
        <w:rPr>
          <w:rFonts w:ascii="Segoe UI" w:hAnsi="Segoe UI"/>
          <w:i/>
          <w:color w:val="555555"/>
          <w:sz w:val="26"/>
        </w:rPr>
        <w:t>Comprehensive Academic &amp; Technical Report on Secure File Sharing &amp; DevSecOps Validation</w:t>
      </w:r>
    </w:p>
    <w:p>
      <w:pPr>
        <w:jc w:val="center"/>
      </w:pPr>
      <w:r>
        <w:rPr>
          <w:rFonts w:ascii="Segoe UI" w:hAnsi="Segoe UI"/>
          <w:color w:val="777777"/>
          <w:sz w:val="19"/>
        </w:rPr>
        <w:t>Project: SecureShare | Standard: IEEE 29148 | Version: 1.0.0 | Date: October 2026</w:t>
        <w:br/>
        <w:t>Engineering Team: Sushmitha Reddy, Rahul Kumar, Priya Sharma, Arjun Rao</w:t>
      </w:r>
    </w:p>
    <w:p>
      <w:r>
        <w:rPr>
          <w:color w:val="CCCCCC"/>
        </w:rPr>
        <w:t>―――――――――――――――――――――――――――――――――――――――――――――――――――――――</w:t>
      </w:r>
    </w:p>
    <w:p>
      <w:r>
        <w:rPr>
          <w:rFonts w:ascii="Segoe UI" w:hAnsi="Segoe UI"/>
          <w:b/>
          <w:color w:val="1F4E79"/>
          <w:sz w:val="26"/>
        </w:rPr>
        <w:t>Executive Summary &amp; Abstract</w:t>
      </w:r>
    </w:p>
    <w:p>
      <w:r>
        <w:rPr>
          <w:rFonts w:ascii="Segoe UI" w:hAnsi="Segoe UI"/>
          <w:sz w:val="19"/>
        </w:rPr>
        <w:t>SecureShare is an enterprise-grade cloud-native secure file sharing platform engineered with Defense-in-Depth principles and continuous automated security validation. Developed in compliance with the IEEE 29148:2018 requirements engineering standard, the system combines Argon2id memory-hard password derivation, RFC 6238 TOTP multi-factor authentication, a 6-stage malware scanning engine, AES-256-GCM envelope encryption, and a tamper-evident SHA-256 blockchain audit ledger. The platform operates within containerized Kubernetes microservices protected by a 14-stage DevSecOps CI/CD pipeline incorporating SAST, SCA, Secret Scanning, DAST, and fuzz testing.</w:t>
      </w:r>
    </w:p>
    <w:p>
      <w:r>
        <w:rPr>
          <w:rFonts w:ascii="Segoe UI" w:hAnsi="Segoe UI"/>
          <w:b/>
          <w:color w:val="1F4E79"/>
          <w:sz w:val="26"/>
        </w:rPr>
        <w:t>Chapter 1: Problem Definition &amp; Academic Scope</w:t>
      </w:r>
    </w:p>
    <w:p>
      <w:r>
        <w:rPr>
          <w:rFonts w:ascii="Segoe UI" w:hAnsi="Segoe UI"/>
          <w:sz w:val="19"/>
        </w:rPr>
        <w:t>1.1 The Threat Landscape of Modern File Sharing:</w:t>
        <w:br/>
        <w:t>Contemporary web file sharing architectures are consistently vulnerable to Broken Object Level Authorization (BOLA), malware ingestion, ransomware distribution, and insider audit tampering.</w:t>
        <w:br/>
        <w:t>1.2 Project Objectives:</w:t>
        <w:br/>
        <w:t>• Objective 1: Eliminate BOLA vulnerabilities through multi-tenant relationship queries.</w:t>
        <w:br/>
        <w:t>• Objective 2: Intercept malware before disk storage via 6-stage stream scanning.</w:t>
        <w:br/>
        <w:t>• Objective 3: Ensure non-repudiation and insider threat resistance via SHA-256 blockchain audit chaining.</w:t>
        <w:br/>
        <w:t>• Objective 4: Implement continuous automated security verification across the entire SDLC.</w:t>
      </w:r>
    </w:p>
    <w:p>
      <w:r>
        <w:rPr>
          <w:rFonts w:ascii="Segoe UI" w:hAnsi="Segoe UI"/>
          <w:b/>
          <w:color w:val="1F4E79"/>
          <w:sz w:val="26"/>
        </w:rPr>
        <w:t>Chapter 2: Literature Review &amp; Security Standards</w:t>
      </w:r>
    </w:p>
    <w:p>
      <w:r>
        <w:rPr>
          <w:rFonts w:ascii="Segoe UI" w:hAnsi="Segoe UI"/>
          <w:sz w:val="19"/>
        </w:rPr>
        <w:t>2.1 IEEE 29148 Standard for Requirements Engineering:</w:t>
        <w:br/>
        <w:t>Provides systematic structure for stakeholder requirements, system constraints, and verification traceability.</w:t>
        <w:br/>
        <w:t>2.2 NIST Cybersecurity Framework &amp; SP 800-53:</w:t>
        <w:br/>
        <w:t>Guides identification, protection, detection, response, and recovery controls.</w:t>
        <w:br/>
        <w:t>2.3 OWASP Top 10 (2021) Web Security:</w:t>
        <w:br/>
        <w:t>Comprehensive mitigations for A01 (Broken Access Control), A02 (Cryptographic Failures), A03 (Injection), A04 (Insecure Design), A05 (Security Misconfig), A07 (Auth Failures), and A09 (Logging Failures).</w:t>
      </w:r>
    </w:p>
    <w:p>
      <w:r>
        <w:rPr>
          <w:rFonts w:ascii="Segoe UI" w:hAnsi="Segoe UI"/>
          <w:b/>
          <w:color w:val="1F4E79"/>
          <w:sz w:val="26"/>
        </w:rPr>
        <w:t>Chapter 3: STRIDE Threat Modeling &amp; Risk Assessment</w:t>
      </w:r>
    </w:p>
    <w:p>
      <w:r>
        <w:rPr>
          <w:rFonts w:ascii="Segoe UI" w:hAnsi="Segoe UI"/>
          <w:sz w:val="19"/>
        </w:rPr>
        <w:t>3.1 STRIDE Threat Matrix:</w:t>
        <w:br/>
        <w:t>Systematic analysis of Spoofing (S-01, S-02), Tampering (T-01, T-02), Repudiation (R-01), Information Disclosure (I-01 to I-03), Denial of Service (D-01, D-02), and Elevation of Privilege (E-01, E-02).</w:t>
        <w:br/>
        <w:t>3.2 5x5 Cyber Risk Assessment Matrix:</w:t>
        <w:br/>
        <w:t>Quantitative risk scoring (Likelihood x Impact) demonstrating the mitigation of all Inherent Critical risks down to Residual Low risk tiers.</w:t>
        <w:br/>
        <w:t>3.3 Attack Tree Decomposition:</w:t>
        <w:br/>
        <w:t>Analysis of primary threat vectors targeting confidentiality, integrity, and availability.</w:t>
      </w:r>
    </w:p>
    <w:p>
      <w:r>
        <w:rPr>
          <w:rFonts w:ascii="Segoe UI" w:hAnsi="Segoe UI"/>
          <w:b/>
          <w:color w:val="1F4E79"/>
          <w:sz w:val="26"/>
        </w:rPr>
        <w:t>Chapter 4: System Architecture &amp; Security Boundaries</w:t>
      </w:r>
    </w:p>
    <w:p>
      <w:r>
        <w:rPr>
          <w:rFonts w:ascii="Segoe UI" w:hAnsi="Segoe UI"/>
          <w:sz w:val="19"/>
        </w:rPr>
        <w:t>4.1 Multi-Tier Trust Boundary Architecture:</w:t>
        <w:br/>
        <w:t>Segmentation into Zone 0 (Untrusted Client), Zone 1 (DMZ / Nginx), Zone 2 (Secure App Tier), and Zone 3 (Isolated Data Tier).</w:t>
        <w:br/>
        <w:t>4.2 Data Flow Diagrams (DFD Level 0 &amp; Level 1):</w:t>
        <w:br/>
        <w:t>Detailed tracking of sensitive file streams, authentication tokens, and audit verification hashes.</w:t>
        <w:br/>
        <w:t>4.3 Entity-Relationship Schema Design:</w:t>
        <w:br/>
        <w:t>Relational schema linking users, folders, files, versions, permissions, share links, and blockchain audit logs.</w:t>
      </w:r>
    </w:p>
    <w:p>
      <w:r>
        <w:rPr>
          <w:rFonts w:ascii="Segoe UI" w:hAnsi="Segoe UI"/>
          <w:b/>
          <w:color w:val="1F4E79"/>
          <w:sz w:val="26"/>
        </w:rPr>
        <w:t>Chapter 5: Core Cryptographic &amp; Security Subsystems</w:t>
      </w:r>
    </w:p>
    <w:p>
      <w:r>
        <w:rPr>
          <w:rFonts w:ascii="Segoe UI" w:hAnsi="Segoe UI"/>
          <w:sz w:val="19"/>
        </w:rPr>
        <w:t>5.1 Argon2id Key Derivation:</w:t>
        <w:br/>
        <w:t>Configured with memory cost m=64MB, time cost t=3 iterations, and parallelism p=4 to prevent GPU brute-force attacks.</w:t>
        <w:br/>
        <w:t>5.2 AES-256-GCM Envelope Encryption:</w:t>
        <w:br/>
        <w:t>Authenticated symmetric encryption with 96-bit unique IV generated per file via os.urandom(12) and 128-bit integrity tag.</w:t>
        <w:br/>
        <w:t>5.3 Cryptographic Hash-Chained Audit Ledger:</w:t>
        <w:br/>
        <w:t>Each audit row computes sha256(prev_hash + actor_id + action + timestamp) creating an immutable blockchain structure.</w:t>
      </w:r>
    </w:p>
    <w:p>
      <w:r>
        <w:rPr>
          <w:rFonts w:ascii="Segoe UI" w:hAnsi="Segoe UI"/>
          <w:b/>
          <w:color w:val="1F4E79"/>
          <w:sz w:val="26"/>
        </w:rPr>
        <w:t>Chapter 6: 6-Stage Malware Scanning &amp; Quarantine Engine</w:t>
      </w:r>
    </w:p>
    <w:p>
      <w:r>
        <w:rPr>
          <w:rFonts w:ascii="Segoe UI" w:hAnsi="Segoe UI"/>
          <w:sz w:val="19"/>
        </w:rPr>
        <w:t>6.1 Stage Decomposition:</w:t>
        <w:br/>
        <w:t>• Stage 1: 50MB payload ceiling check.</w:t>
        <w:br/>
        <w:t>• Stage 2: libmagic MIME header verification.</w:t>
        <w:br/>
        <w:t>• Stage 3: Executable binary (PE/ELF/Mach-O) and script detection.</w:t>
        <w:br/>
        <w:t>• Stage 4: Zip bomb recursion and compression ratio analysis.</w:t>
        <w:br/>
        <w:t>• Stage 5: ClamAV daemon antivirus signature scanning.</w:t>
        <w:br/>
        <w:t>• Stage 6: Shannon entropy calculation to detect obfuscated payloads.</w:t>
        <w:br/>
        <w:t>6.2 Air-Gapped Quarantine Isolation:</w:t>
        <w:br/>
        <w:t>Infected files moved to /storage/quarantine with POSIX 0600 permissions; downloads return HTTP 403 Forbidden.</w:t>
      </w:r>
    </w:p>
    <w:p>
      <w:r>
        <w:rPr>
          <w:rFonts w:ascii="Segoe UI" w:hAnsi="Segoe UI"/>
          <w:b/>
          <w:color w:val="1F4E79"/>
          <w:sz w:val="26"/>
        </w:rPr>
        <w:t>Chapter 7: Agile Scrum Implementation &amp; Metrics</w:t>
      </w:r>
    </w:p>
    <w:p>
      <w:r>
        <w:rPr>
          <w:rFonts w:ascii="Segoe UI" w:hAnsi="Segoe UI"/>
          <w:sz w:val="19"/>
        </w:rPr>
        <w:t>7.1 Sprint 1 (Core Auth &amp; Scanner): 36 Story Points committed, 36 delivered (100% velocity).</w:t>
        <w:br/>
        <w:t>7.2 Sprint 2 (Cryptography &amp; Auditing): 38 Story Points committed, 38 delivered (100% velocity).</w:t>
        <w:br/>
        <w:t>7.3 Sprint 3 (DevSecOps &amp; UI): 40 Story Points committed, 40 delivered (100% velocity).</w:t>
        <w:br/>
        <w:t>7.4 Zero Carryover Delivery: All 114 story points across 18 user stories completed successfully.</w:t>
      </w:r>
    </w:p>
    <w:p>
      <w:r>
        <w:rPr>
          <w:rFonts w:ascii="Segoe UI" w:hAnsi="Segoe UI"/>
          <w:b/>
          <w:color w:val="1F4E79"/>
          <w:sz w:val="26"/>
        </w:rPr>
        <w:t>Chapter 8: DevSecOps CI/CD Pipeline &amp; Automated Security Gates</w:t>
      </w:r>
    </w:p>
    <w:p>
      <w:r>
        <w:rPr>
          <w:rFonts w:ascii="Segoe UI" w:hAnsi="Segoe UI"/>
          <w:sz w:val="19"/>
        </w:rPr>
        <w:t>8.1 GitHub Actions Workflow:</w:t>
        <w:br/>
        <w:t>14 automated pipeline stages executing on every push and pull request.</w:t>
        <w:br/>
        <w:t>8.2 Security Toolchain Integration:</w:t>
        <w:br/>
        <w:t>• SAST: Bandit static analysis enforcing zero High/Medium security alerts.</w:t>
        <w:br/>
        <w:t>• SCA: Safety and pip-audit checking CVEs in third-party Python packages.</w:t>
        <w:br/>
        <w:t>• Secrets: TruffleHog scanning git commit histories for exposed credentials.</w:t>
        <w:br/>
        <w:t>• DAST: OWASP ZAP baseline scan performing authenticated vulnerability testing.</w:t>
        <w:br/>
        <w:t>• Fuzzing: 500+ malformed input payloads tested against auth and upload endpoints.</w:t>
      </w:r>
    </w:p>
    <w:p>
      <w:r>
        <w:rPr>
          <w:rFonts w:ascii="Segoe UI" w:hAnsi="Segoe UI"/>
          <w:b/>
          <w:color w:val="1F4E79"/>
          <w:sz w:val="26"/>
        </w:rPr>
        <w:t>Chapter 9: Verification, Quality Assurance &amp; Test Results</w:t>
      </w:r>
    </w:p>
    <w:p>
      <w:r>
        <w:rPr>
          <w:rFonts w:ascii="Segoe UI" w:hAnsi="Segoe UI"/>
          <w:sz w:val="19"/>
        </w:rPr>
        <w:t>9.1 Automated Test Suites:</w:t>
        <w:br/>
        <w:t>48 comprehensive automated tests passing with 100% success rate:</w:t>
        <w:br/>
        <w:t>• Unit and Integration Suite: 18 passed.</w:t>
        <w:br/>
        <w:t>• Security &amp; Threat Mitigation Suite: 11 passed.</w:t>
        <w:br/>
        <w:t>• Malformed Input Fuzzing Suite: 19 passed.</w:t>
        <w:br/>
        <w:t>9.2 Performance Benchmarking:</w:t>
        <w:br/>
        <w:t>AES-256-GCM throughput exceeding 45 MB/s; decryption streaming latency under 95ms.</w:t>
      </w:r>
    </w:p>
    <w:p>
      <w:r>
        <w:rPr>
          <w:rFonts w:ascii="Segoe UI" w:hAnsi="Segoe UI"/>
          <w:b/>
          <w:color w:val="1F4E79"/>
          <w:sz w:val="26"/>
        </w:rPr>
        <w:t>Chapter 10: Conclusion, Academic Outcomes &amp; Future Work</w:t>
      </w:r>
    </w:p>
    <w:p>
      <w:r>
        <w:rPr>
          <w:rFonts w:ascii="Segoe UI" w:hAnsi="Segoe UI"/>
          <w:sz w:val="19"/>
        </w:rPr>
        <w:t>10.1 Fulfillment of Course &amp; Industry Outcomes:</w:t>
        <w:br/>
        <w:t>The SecureShare capstone project successfully demonstrates complete compliance with IEEE 29148 requirements engineering, ISO 27001 control mapping, and real-world DevSecOps security automation.</w:t>
        <w:br/>
        <w:t>10.2 Future Roadmap:</w:t>
        <w:br/>
        <w:t>• Integration of Hardware Security Modules (HSM) via PKCS#11 for root MEK storage.</w:t>
        <w:br/>
        <w:t>• Post-quantum cryptography integration (Kyber-1024 for key exchange).</w:t>
        <w:br/>
        <w:t>• Distributed multi-region S3-compatible encrypted object storage backend.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