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Calibri" w:hAnsi="Calibri"/>
          <w:b/>
          <w:color w:val="64748B"/>
          <w:sz w:val="28"/>
        </w:rPr>
        <w:t>SOFTWARE REQUIREMENTS SPECIFICATION</w:t>
      </w:r>
    </w:p>
    <w:p>
      <w:pPr>
        <w:spacing w:before="200" w:after="160"/>
        <w:jc w:val="center"/>
      </w:pPr>
      <w:r>
        <w:rPr>
          <w:rFonts w:ascii="Calibri" w:hAnsi="Calibri"/>
          <w:b/>
          <w:color w:val="1E3A8A"/>
          <w:sz w:val="60"/>
        </w:rPr>
        <w:t>TripMate</w:t>
      </w:r>
    </w:p>
    <w:p>
      <w:pPr>
        <w:spacing w:before="80" w:after="480"/>
        <w:jc w:val="center"/>
      </w:pPr>
      <w:r>
        <w:rPr>
          <w:rFonts w:ascii="Calibri" w:hAnsi="Calibri"/>
          <w:color w:val="334155"/>
          <w:sz w:val="26"/>
        </w:rPr>
        <w:t>Collaborative Travel Planning Platform with Shared-Resource Authorization &amp; Privacy</w:t>
      </w:r>
    </w:p>
    <w:p>
      <w:pPr>
        <w:jc w:val="center"/>
      </w:pPr>
      <w:r>
        <w:rPr>
          <w:color w:val="CBD5E1"/>
        </w:rPr>
        <w:t>——————————————————————————————————————</w:t>
      </w:r>
    </w:p>
    <w:p>
      <w:pPr>
        <w:spacing w:before="280" w:after="360"/>
        <w:jc w:val="center"/>
      </w:pPr>
      <w:r>
        <w:rPr>
          <w:rFonts w:ascii="Calibri" w:hAnsi="Calibri"/>
          <w:b/>
          <w:color w:val="2563EB"/>
          <w:sz w:val="22"/>
        </w:rPr>
        <w:t>IEEE 29148-Conformant SRS Specification</w:t>
      </w:r>
    </w:p>
    <w:p>
      <w:pPr>
        <w:spacing w:before="200" w:after="800"/>
        <w:jc w:val="center"/>
      </w:pPr>
      <w:r>
        <w:rPr>
          <w:rFonts w:ascii="Calibri" w:hAnsi="Calibri"/>
          <w:b/>
          <w:color w:val="1E293B"/>
          <w:sz w:val="24"/>
        </w:rPr>
        <w:t>20CYS495 — Capstone Project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4608"/>
            <w:shd w:fill="1E3A8A"/>
            <w:tcMar>
              <w:top w:w="100" w:type="dxa"/>
              <w:bottom w:w="100" w:type="dxa"/>
              <w:left w:w="140" w:type="dxa"/>
              <w:right w:w="140" w:type="dxa"/>
            </w:tcMar>
          </w:tcPr>
          <w:p>
            <w:pPr>
              <w:jc w:val="left"/>
            </w:pPr>
            <w:r>
              <w:rPr>
                <w:rFonts w:ascii="Calibri" w:hAnsi="Calibri"/>
                <w:b/>
                <w:color w:val="FFFFFF"/>
                <w:sz w:val="20"/>
              </w:rPr>
              <w:t>Student Contributor</w:t>
            </w:r>
          </w:p>
        </w:tc>
        <w:tc>
          <w:tcPr>
            <w:tcW w:type="dxa" w:w="4032"/>
            <w:shd w:fill="1E3A8A"/>
            <w:tcMar>
              <w:top w:w="100" w:type="dxa"/>
              <w:bottom w:w="100" w:type="dxa"/>
              <w:left w:w="140" w:type="dxa"/>
              <w:right w:w="140" w:type="dxa"/>
            </w:tcMar>
          </w:tcPr>
          <w:p>
            <w:pPr>
              <w:jc w:val="right"/>
            </w:pPr>
            <w:r>
              <w:rPr>
                <w:rFonts w:ascii="Calibri" w:hAnsi="Calibri"/>
                <w:b/>
                <w:color w:val="FFFFFF"/>
                <w:sz w:val="20"/>
              </w:rPr>
              <w:t>Register Number</w:t>
            </w:r>
          </w:p>
        </w:tc>
      </w:tr>
      <w:tr>
        <w:tc>
          <w:tcPr>
            <w:tcW w:type="dxa" w:w="4680"/>
            <w:shd w:fill="FFFFFF"/>
            <w:tcMar>
              <w:top w:w="90" w:type="dxa"/>
              <w:bottom w:w="90" w:type="dxa"/>
              <w:left w:w="140" w:type="dxa"/>
              <w:right w:w="140" w:type="dxa"/>
            </w:tcMar>
          </w:tcPr>
          <w:p>
            <w:pPr>
              <w:jc w:val="left"/>
            </w:pPr>
            <w:r>
              <w:rPr>
                <w:rFonts w:ascii="Calibri" w:hAnsi="Calibri"/>
                <w:b/>
                <w:color w:val="1E293B"/>
                <w:sz w:val="20"/>
              </w:rPr>
              <w:t>A. sushmitha</w:t>
            </w:r>
          </w:p>
        </w:tc>
        <w:tc>
          <w:tcPr>
            <w:tcW w:type="dxa" w:w="4680"/>
            <w:shd w:fill="FFFFFF"/>
            <w:tcMar>
              <w:top w:w="90" w:type="dxa"/>
              <w:bottom w:w="90" w:type="dxa"/>
              <w:left w:w="140" w:type="dxa"/>
              <w:right w:w="140" w:type="dxa"/>
            </w:tcMar>
          </w:tcPr>
          <w:p>
            <w:pPr>
              <w:jc w:val="right"/>
            </w:pPr>
            <w:r>
              <w:rPr>
                <w:rFonts w:ascii="Calibri" w:hAnsi="Calibri"/>
                <w:color w:val="2563EB"/>
                <w:sz w:val="20"/>
              </w:rPr>
              <w:t>CH.SC.U4CYS23057</w:t>
            </w:r>
          </w:p>
        </w:tc>
      </w:tr>
      <w:tr>
        <w:tc>
          <w:tcPr>
            <w:tcW w:type="dxa" w:w="4680"/>
            <w:shd w:fill="F8FAFC"/>
            <w:tcMar>
              <w:top w:w="90" w:type="dxa"/>
              <w:bottom w:w="90" w:type="dxa"/>
              <w:left w:w="140" w:type="dxa"/>
              <w:right w:w="140" w:type="dxa"/>
            </w:tcMar>
          </w:tcPr>
          <w:p>
            <w:pPr>
              <w:jc w:val="left"/>
            </w:pPr>
            <w:r>
              <w:rPr>
                <w:rFonts w:ascii="Calibri" w:hAnsi="Calibri"/>
                <w:b/>
                <w:color w:val="1E293B"/>
                <w:sz w:val="20"/>
              </w:rPr>
              <w:t>U. Tejaswi</w:t>
            </w:r>
          </w:p>
        </w:tc>
        <w:tc>
          <w:tcPr>
            <w:tcW w:type="dxa" w:w="4680"/>
            <w:shd w:fill="F8FAFC"/>
            <w:tcMar>
              <w:top w:w="90" w:type="dxa"/>
              <w:bottom w:w="90" w:type="dxa"/>
              <w:left w:w="140" w:type="dxa"/>
              <w:right w:w="140" w:type="dxa"/>
            </w:tcMar>
          </w:tcPr>
          <w:p>
            <w:pPr>
              <w:jc w:val="right"/>
            </w:pPr>
            <w:r>
              <w:rPr>
                <w:rFonts w:ascii="Calibri" w:hAnsi="Calibri"/>
                <w:color w:val="2563EB"/>
                <w:sz w:val="20"/>
              </w:rPr>
              <w:t>CH.SC.U4CYS23047</w:t>
            </w:r>
          </w:p>
        </w:tc>
      </w:tr>
    </w:tbl>
    <w:p>
      <w:pPr>
        <w:spacing w:before="900"/>
        <w:jc w:val="center"/>
      </w:pPr>
      <w:r>
        <w:rPr>
          <w:rFonts w:ascii="Calibri" w:hAnsi="Calibri"/>
          <w:color w:val="94A3B8"/>
          <w:sz w:val="19"/>
        </w:rPr>
        <w:t>Academic Year: 2025–2026 | Document Release: v1.0 Final</w:t>
      </w:r>
    </w:p>
    <w:p>
      <w:r>
        <w:br w:type="page"/>
      </w:r>
    </w:p>
    <w:p>
      <w:pPr>
        <w:keepNext/>
        <w:spacing w:before="360" w:after="120"/>
      </w:pPr>
      <w:r>
        <w:rPr>
          <w:rFonts w:ascii="Calibri" w:hAnsi="Calibri"/>
          <w:b/>
          <w:color w:val="1E3A8A"/>
          <w:sz w:val="32"/>
        </w:rPr>
        <w:t>Table of Contents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600"/>
            <w:shd w:fill="1E3A8A"/>
            <w:tcMar>
              <w:top w:w="140" w:type="dxa"/>
              <w:bottom w:w="140" w:type="dxa"/>
              <w:left w:w="160" w:type="dxa"/>
              <w:right w:w="160" w:type="dxa"/>
            </w:tcMar>
          </w:tcPr>
          <w:p>
            <w:pPr>
              <w:jc w:val="left"/>
            </w:pPr>
            <w:r>
              <w:rPr>
                <w:rFonts w:ascii="Calibri" w:hAnsi="Calibri"/>
                <w:b/>
                <w:color w:val="FFFFFF"/>
                <w:sz w:val="20"/>
              </w:rPr>
              <w:t>Section Title</w:t>
            </w:r>
          </w:p>
        </w:tc>
        <w:tc>
          <w:tcPr>
            <w:tcW w:type="dxa" w:w="5760"/>
            <w:shd w:fill="1E3A8A"/>
            <w:tcMar>
              <w:top w:w="140" w:type="dxa"/>
              <w:bottom w:w="140" w:type="dxa"/>
              <w:left w:w="160" w:type="dxa"/>
              <w:right w:w="160" w:type="dxa"/>
            </w:tcMar>
          </w:tcPr>
          <w:p>
            <w:pPr>
              <w:jc w:val="left"/>
            </w:pPr>
            <w:r>
              <w:rPr>
                <w:rFonts w:ascii="Calibri" w:hAnsi="Calibri"/>
                <w:b/>
                <w:color w:val="FFFFFF"/>
                <w:sz w:val="20"/>
              </w:rPr>
              <w:t>Scope &amp; Covered Modules</w:t>
            </w:r>
          </w:p>
        </w:tc>
      </w:tr>
      <w:tr>
        <w:tc>
          <w:tcPr>
            <w:tcW w:type="dxa" w:w="3600"/>
            <w:shd w:fill="FFFFFF"/>
            <w:tcMar>
              <w:top w:w="100" w:type="dxa"/>
              <w:bottom w:w="100" w:type="dxa"/>
              <w:left w:w="160" w:type="dxa"/>
              <w:right w:w="160" w:type="dxa"/>
            </w:tcMar>
          </w:tcPr>
          <w:p>
            <w:pPr>
              <w:jc w:val="left"/>
            </w:pPr>
            <w:r>
              <w:rPr>
                <w:rFonts w:ascii="Calibri" w:hAnsi="Calibri"/>
                <w:color w:val="1E293B"/>
                <w:sz w:val="19"/>
              </w:rPr>
              <w:t>1. Introduction</w:t>
            </w:r>
          </w:p>
        </w:tc>
        <w:tc>
          <w:tcPr>
            <w:tcW w:type="dxa" w:w="5760"/>
            <w:shd w:fill="FFFFFF"/>
            <w:tcMar>
              <w:top w:w="100" w:type="dxa"/>
              <w:bottom w:w="100" w:type="dxa"/>
              <w:left w:w="160" w:type="dxa"/>
              <w:right w:w="160" w:type="dxa"/>
            </w:tcMar>
          </w:tcPr>
          <w:p>
            <w:pPr>
              <w:jc w:val="left"/>
            </w:pPr>
            <w:r>
              <w:rPr>
                <w:rFonts w:ascii="Calibri" w:hAnsi="Calibri"/>
                <w:color w:val="1E293B"/>
                <w:sz w:val="19"/>
              </w:rPr>
              <w:t>1.1 Purpose, 1.2 Conventions, 1.3 Audience, 1.4 Scope, 1.5 Definitions</w:t>
            </w:r>
          </w:p>
        </w:tc>
      </w:tr>
      <w:tr>
        <w:tc>
          <w:tcPr>
            <w:tcW w:type="dxa" w:w="3600"/>
            <w:shd w:fill="F8FAFC"/>
            <w:tcMar>
              <w:top w:w="100" w:type="dxa"/>
              <w:bottom w:w="100" w:type="dxa"/>
              <w:left w:w="160" w:type="dxa"/>
              <w:right w:w="160" w:type="dxa"/>
            </w:tcMar>
          </w:tcPr>
          <w:p>
            <w:pPr>
              <w:jc w:val="left"/>
            </w:pPr>
            <w:r>
              <w:rPr>
                <w:rFonts w:ascii="Calibri" w:hAnsi="Calibri"/>
                <w:color w:val="1E293B"/>
                <w:sz w:val="19"/>
              </w:rPr>
              <w:t>2. Overall Description</w:t>
            </w:r>
          </w:p>
        </w:tc>
        <w:tc>
          <w:tcPr>
            <w:tcW w:type="dxa" w:w="5760"/>
            <w:shd w:fill="F8FAFC"/>
            <w:tcMar>
              <w:top w:w="100" w:type="dxa"/>
              <w:bottom w:w="100" w:type="dxa"/>
              <w:left w:w="160" w:type="dxa"/>
              <w:right w:w="160" w:type="dxa"/>
            </w:tcMar>
          </w:tcPr>
          <w:p>
            <w:pPr>
              <w:jc w:val="left"/>
            </w:pPr>
            <w:r>
              <w:rPr>
                <w:rFonts w:ascii="Calibri" w:hAnsi="Calibri"/>
                <w:color w:val="1E293B"/>
                <w:sz w:val="19"/>
              </w:rPr>
              <w:t>2.1 Perspective, 2.2 Functions, 2.3 User Classes, 2.4 Environment, 2.5 Constraints, 2.6 Dependencies</w:t>
            </w:r>
          </w:p>
        </w:tc>
      </w:tr>
      <w:tr>
        <w:tc>
          <w:tcPr>
            <w:tcW w:type="dxa" w:w="3600"/>
            <w:shd w:fill="FFFFFF"/>
            <w:tcMar>
              <w:top w:w="100" w:type="dxa"/>
              <w:bottom w:w="100" w:type="dxa"/>
              <w:left w:w="160" w:type="dxa"/>
              <w:right w:w="160" w:type="dxa"/>
            </w:tcMar>
          </w:tcPr>
          <w:p>
            <w:pPr>
              <w:jc w:val="left"/>
            </w:pPr>
            <w:r>
              <w:rPr>
                <w:rFonts w:ascii="Calibri" w:hAnsi="Calibri"/>
                <w:color w:val="1E293B"/>
                <w:sz w:val="19"/>
              </w:rPr>
              <w:t>3. Functional Requirements</w:t>
            </w:r>
          </w:p>
        </w:tc>
        <w:tc>
          <w:tcPr>
            <w:tcW w:type="dxa" w:w="5760"/>
            <w:shd w:fill="FFFFFF"/>
            <w:tcMar>
              <w:top w:w="100" w:type="dxa"/>
              <w:bottom w:w="100" w:type="dxa"/>
              <w:left w:w="160" w:type="dxa"/>
              <w:right w:w="160" w:type="dxa"/>
            </w:tcMar>
          </w:tcPr>
          <w:p>
            <w:pPr>
              <w:jc w:val="left"/>
            </w:pPr>
            <w:r>
              <w:rPr>
                <w:rFonts w:ascii="Calibri" w:hAnsi="Calibri"/>
                <w:color w:val="1E293B"/>
                <w:sz w:val="19"/>
              </w:rPr>
              <w:t>FR-01 to FR-16 Detailed Specification Matrix &amp; 3.1 Traceability Matrix</w:t>
            </w:r>
          </w:p>
        </w:tc>
      </w:tr>
      <w:tr>
        <w:tc>
          <w:tcPr>
            <w:tcW w:type="dxa" w:w="3600"/>
            <w:shd w:fill="F8FAFC"/>
            <w:tcMar>
              <w:top w:w="100" w:type="dxa"/>
              <w:bottom w:w="100" w:type="dxa"/>
              <w:left w:w="160" w:type="dxa"/>
              <w:right w:w="160" w:type="dxa"/>
            </w:tcMar>
          </w:tcPr>
          <w:p>
            <w:pPr>
              <w:jc w:val="left"/>
            </w:pPr>
            <w:r>
              <w:rPr>
                <w:rFonts w:ascii="Calibri" w:hAnsi="Calibri"/>
                <w:color w:val="1E293B"/>
                <w:sz w:val="19"/>
              </w:rPr>
              <w:t>4. External Interface Requirements</w:t>
            </w:r>
          </w:p>
        </w:tc>
        <w:tc>
          <w:tcPr>
            <w:tcW w:type="dxa" w:w="5760"/>
            <w:shd w:fill="F8FAFC"/>
            <w:tcMar>
              <w:top w:w="100" w:type="dxa"/>
              <w:bottom w:w="100" w:type="dxa"/>
              <w:left w:w="160" w:type="dxa"/>
              <w:right w:w="160" w:type="dxa"/>
            </w:tcMar>
          </w:tcPr>
          <w:p>
            <w:pPr>
              <w:jc w:val="left"/>
            </w:pPr>
            <w:r>
              <w:rPr>
                <w:rFonts w:ascii="Calibri" w:hAnsi="Calibri"/>
                <w:color w:val="1E293B"/>
                <w:sz w:val="19"/>
              </w:rPr>
              <w:t>4.1 User Interfaces, 4.2 Software Interfaces, 4.3 Communication Interfaces</w:t>
            </w:r>
          </w:p>
        </w:tc>
      </w:tr>
      <w:tr>
        <w:tc>
          <w:tcPr>
            <w:tcW w:type="dxa" w:w="3600"/>
            <w:shd w:fill="FFFFFF"/>
            <w:tcMar>
              <w:top w:w="100" w:type="dxa"/>
              <w:bottom w:w="100" w:type="dxa"/>
              <w:left w:w="160" w:type="dxa"/>
              <w:right w:w="160" w:type="dxa"/>
            </w:tcMar>
          </w:tcPr>
          <w:p>
            <w:pPr>
              <w:jc w:val="left"/>
            </w:pPr>
            <w:r>
              <w:rPr>
                <w:rFonts w:ascii="Calibri" w:hAnsi="Calibri"/>
                <w:color w:val="1E293B"/>
                <w:sz w:val="19"/>
              </w:rPr>
              <w:t>5. Non-Functional Requirements</w:t>
            </w:r>
          </w:p>
        </w:tc>
        <w:tc>
          <w:tcPr>
            <w:tcW w:type="dxa" w:w="5760"/>
            <w:shd w:fill="FFFFFF"/>
            <w:tcMar>
              <w:top w:w="100" w:type="dxa"/>
              <w:bottom w:w="100" w:type="dxa"/>
              <w:left w:w="160" w:type="dxa"/>
              <w:right w:w="160" w:type="dxa"/>
            </w:tcMar>
          </w:tcPr>
          <w:p>
            <w:pPr>
              <w:jc w:val="left"/>
            </w:pPr>
            <w:r>
              <w:rPr>
                <w:rFonts w:ascii="Calibri" w:hAnsi="Calibri"/>
                <w:color w:val="1E293B"/>
                <w:sz w:val="19"/>
              </w:rPr>
              <w:t>Performance, Scalability, Availability, Usability, Maintainability, Portability, Reliability</w:t>
            </w:r>
          </w:p>
        </w:tc>
      </w:tr>
      <w:tr>
        <w:tc>
          <w:tcPr>
            <w:tcW w:type="dxa" w:w="3600"/>
            <w:shd w:fill="F8FAFC"/>
            <w:tcMar>
              <w:top w:w="100" w:type="dxa"/>
              <w:bottom w:w="100" w:type="dxa"/>
              <w:left w:w="160" w:type="dxa"/>
              <w:right w:w="160" w:type="dxa"/>
            </w:tcMar>
          </w:tcPr>
          <w:p>
            <w:pPr>
              <w:jc w:val="left"/>
            </w:pPr>
            <w:r>
              <w:rPr>
                <w:rFonts w:ascii="Calibri" w:hAnsi="Calibri"/>
                <w:color w:val="1E293B"/>
                <w:sz w:val="19"/>
              </w:rPr>
              <w:t>6. Security Requirements &amp; Assets Inventory</w:t>
            </w:r>
          </w:p>
        </w:tc>
        <w:tc>
          <w:tcPr>
            <w:tcW w:type="dxa" w:w="5760"/>
            <w:shd w:fill="F8FAFC"/>
            <w:tcMar>
              <w:top w:w="100" w:type="dxa"/>
              <w:bottom w:w="100" w:type="dxa"/>
              <w:left w:w="160" w:type="dxa"/>
              <w:right w:w="160" w:type="dxa"/>
            </w:tcMar>
          </w:tcPr>
          <w:p>
            <w:pPr>
              <w:jc w:val="left"/>
            </w:pPr>
            <w:r>
              <w:rPr>
                <w:rFonts w:ascii="Calibri" w:hAnsi="Calibri"/>
                <w:color w:val="1E293B"/>
                <w:sz w:val="19"/>
              </w:rPr>
              <w:t>6.1 System Assets Inventory &amp; Sensitivity Classification, 6.2 Threat Mitigation &amp; Controls</w:t>
            </w:r>
          </w:p>
        </w:tc>
      </w:tr>
      <w:tr>
        <w:tc>
          <w:tcPr>
            <w:tcW w:type="dxa" w:w="3600"/>
            <w:shd w:fill="FFFFFF"/>
            <w:tcMar>
              <w:top w:w="100" w:type="dxa"/>
              <w:bottom w:w="100" w:type="dxa"/>
              <w:left w:w="160" w:type="dxa"/>
              <w:right w:w="160" w:type="dxa"/>
            </w:tcMar>
          </w:tcPr>
          <w:p>
            <w:pPr>
              <w:jc w:val="left"/>
            </w:pPr>
            <w:r>
              <w:rPr>
                <w:rFonts w:ascii="Calibri" w:hAnsi="Calibri"/>
                <w:color w:val="1E293B"/>
                <w:sz w:val="19"/>
              </w:rPr>
              <w:t>7. Data Requirements</w:t>
            </w:r>
          </w:p>
        </w:tc>
        <w:tc>
          <w:tcPr>
            <w:tcW w:type="dxa" w:w="5760"/>
            <w:shd w:fill="FFFFFF"/>
            <w:tcMar>
              <w:top w:w="100" w:type="dxa"/>
              <w:bottom w:w="100" w:type="dxa"/>
              <w:left w:w="160" w:type="dxa"/>
              <w:right w:w="160" w:type="dxa"/>
            </w:tcMar>
          </w:tcPr>
          <w:p>
            <w:pPr>
              <w:jc w:val="left"/>
            </w:pPr>
            <w:r>
              <w:rPr>
                <w:rFonts w:ascii="Calibri" w:hAnsi="Calibri"/>
                <w:color w:val="1E293B"/>
                <w:sz w:val="19"/>
              </w:rPr>
              <w:t>Entity-Relationship Data Schemas &amp; Relational Integrity Constraints</w:t>
            </w:r>
          </w:p>
        </w:tc>
      </w:tr>
      <w:tr>
        <w:tc>
          <w:tcPr>
            <w:tcW w:type="dxa" w:w="3600"/>
            <w:shd w:fill="F8FAFC"/>
            <w:tcMar>
              <w:top w:w="100" w:type="dxa"/>
              <w:bottom w:w="100" w:type="dxa"/>
              <w:left w:w="160" w:type="dxa"/>
              <w:right w:w="160" w:type="dxa"/>
            </w:tcMar>
          </w:tcPr>
          <w:p>
            <w:pPr>
              <w:jc w:val="left"/>
            </w:pPr>
            <w:r>
              <w:rPr>
                <w:rFonts w:ascii="Calibri" w:hAnsi="Calibri"/>
                <w:color w:val="1E293B"/>
                <w:sz w:val="19"/>
              </w:rPr>
              <w:t>8. Use Case Descriptions</w:t>
            </w:r>
          </w:p>
        </w:tc>
        <w:tc>
          <w:tcPr>
            <w:tcW w:type="dxa" w:w="5760"/>
            <w:shd w:fill="F8FAFC"/>
            <w:tcMar>
              <w:top w:w="100" w:type="dxa"/>
              <w:bottom w:w="100" w:type="dxa"/>
              <w:left w:w="160" w:type="dxa"/>
              <w:right w:w="160" w:type="dxa"/>
            </w:tcMar>
          </w:tcPr>
          <w:p>
            <w:pPr>
              <w:jc w:val="left"/>
            </w:pPr>
            <w:r>
              <w:rPr>
                <w:rFonts w:ascii="Calibri" w:hAnsi="Calibri"/>
                <w:color w:val="1E293B"/>
                <w:sz w:val="19"/>
              </w:rPr>
              <w:t>UC-1 to UC-8 Detailed Scenario Specifications</w:t>
            </w:r>
          </w:p>
        </w:tc>
      </w:tr>
      <w:tr>
        <w:tc>
          <w:tcPr>
            <w:tcW w:type="dxa" w:w="3600"/>
            <w:shd w:fill="FFFFFF"/>
            <w:tcMar>
              <w:top w:w="100" w:type="dxa"/>
              <w:bottom w:w="100" w:type="dxa"/>
              <w:left w:w="160" w:type="dxa"/>
              <w:right w:w="160" w:type="dxa"/>
            </w:tcMar>
          </w:tcPr>
          <w:p>
            <w:pPr>
              <w:jc w:val="left"/>
            </w:pPr>
            <w:r>
              <w:rPr>
                <w:rFonts w:ascii="Calibri" w:hAnsi="Calibri"/>
                <w:color w:val="1E293B"/>
                <w:sz w:val="19"/>
              </w:rPr>
              <w:t>9. Acceptance Criteria</w:t>
            </w:r>
          </w:p>
        </w:tc>
        <w:tc>
          <w:tcPr>
            <w:tcW w:type="dxa" w:w="5760"/>
            <w:shd w:fill="FFFFFF"/>
            <w:tcMar>
              <w:top w:w="100" w:type="dxa"/>
              <w:bottom w:w="100" w:type="dxa"/>
              <w:left w:w="160" w:type="dxa"/>
              <w:right w:w="160" w:type="dxa"/>
            </w:tcMar>
          </w:tcPr>
          <w:p>
            <w:pPr>
              <w:jc w:val="left"/>
            </w:pPr>
            <w:r>
              <w:rPr>
                <w:rFonts w:ascii="Calibri" w:hAnsi="Calibri"/>
                <w:color w:val="1E293B"/>
                <w:sz w:val="19"/>
              </w:rPr>
              <w:t>Rigorous Verification Criteria &amp; Sign-off Standards</w:t>
            </w:r>
          </w:p>
        </w:tc>
      </w:tr>
      <w:tr>
        <w:tc>
          <w:tcPr>
            <w:tcW w:type="dxa" w:w="3600"/>
            <w:shd w:fill="F8FAFC"/>
            <w:tcMar>
              <w:top w:w="100" w:type="dxa"/>
              <w:bottom w:w="100" w:type="dxa"/>
              <w:left w:w="160" w:type="dxa"/>
              <w:right w:w="160" w:type="dxa"/>
            </w:tcMar>
          </w:tcPr>
          <w:p>
            <w:pPr>
              <w:jc w:val="left"/>
            </w:pPr>
            <w:r>
              <w:rPr>
                <w:rFonts w:ascii="Calibri" w:hAnsi="Calibri"/>
                <w:color w:val="1E293B"/>
                <w:sz w:val="19"/>
              </w:rPr>
              <w:t>10. Assumptions &amp; Dependencies</w:t>
            </w:r>
          </w:p>
        </w:tc>
        <w:tc>
          <w:tcPr>
            <w:tcW w:type="dxa" w:w="5760"/>
            <w:shd w:fill="F8FAFC"/>
            <w:tcMar>
              <w:top w:w="100" w:type="dxa"/>
              <w:bottom w:w="100" w:type="dxa"/>
              <w:left w:w="160" w:type="dxa"/>
              <w:right w:w="160" w:type="dxa"/>
            </w:tcMar>
          </w:tcPr>
          <w:p>
            <w:pPr>
              <w:jc w:val="left"/>
            </w:pPr>
            <w:r>
              <w:rPr>
                <w:rFonts w:ascii="Calibri" w:hAnsi="Calibri"/>
                <w:color w:val="1E293B"/>
                <w:sz w:val="19"/>
              </w:rPr>
              <w:t>Architectural Assumptions, Environmental Dependencies &amp; Operational Scope</w:t>
            </w:r>
          </w:p>
        </w:tc>
      </w:tr>
    </w:tbl>
    <w:p>
      <w:r>
        <w:br w:type="page"/>
      </w:r>
    </w:p>
    <w:p>
      <w:pPr>
        <w:keepNext/>
        <w:spacing w:before="360" w:after="120"/>
      </w:pPr>
      <w:r>
        <w:rPr>
          <w:rFonts w:ascii="Calibri" w:hAnsi="Calibri"/>
          <w:b/>
          <w:color w:val="1E3A8A"/>
          <w:sz w:val="32"/>
        </w:rPr>
        <w:t>1. Introduction</w:t>
      </w:r>
    </w:p>
    <w:p>
      <w:pPr>
        <w:keepNext/>
        <w:spacing w:before="240" w:after="80"/>
      </w:pPr>
      <w:r>
        <w:rPr>
          <w:rFonts w:ascii="Calibri" w:hAnsi="Calibri"/>
          <w:b/>
          <w:color w:val="2563EB"/>
          <w:sz w:val="26"/>
        </w:rPr>
        <w:t>1.1 Purpose</w:t>
      </w:r>
    </w:p>
    <w:p>
      <w:pPr>
        <w:spacing w:before="0" w:after="80" w:line="276" w:lineRule="auto"/>
      </w:pPr>
      <w:r>
        <w:rPr>
          <w:rFonts w:ascii="Calibri" w:hAnsi="Calibri"/>
          <w:color w:val="334155"/>
          <w:sz w:val="20"/>
        </w:rPr>
        <w:t>This document specifies the software requirements for TripMate, an enterprise-grade collaborative travel planning web platform designed with high-assurance security, fine-grained access control, shared-resource authorization, and comprehensive data privacy. The specification is constructed in strict conformance with the structure, syntax, and verification guidelines recommended by the IEEE 29148 Systems and Software Engineering — Life Cycle Processes — Requirements Engineering standard.</w:t>
      </w:r>
    </w:p>
    <w:p>
      <w:pPr>
        <w:keepNext/>
        <w:spacing w:before="240" w:after="80"/>
      </w:pPr>
      <w:r>
        <w:rPr>
          <w:rFonts w:ascii="Calibri" w:hAnsi="Calibri"/>
          <w:b/>
          <w:color w:val="2563EB"/>
          <w:sz w:val="26"/>
        </w:rPr>
        <w:t>1.2 Document Conventions</w:t>
      </w:r>
    </w:p>
    <w:p>
      <w:pPr>
        <w:spacing w:before="0" w:after="80" w:line="276" w:lineRule="auto"/>
      </w:pPr>
      <w:r>
        <w:rPr>
          <w:rFonts w:ascii="Calibri" w:hAnsi="Calibri"/>
          <w:color w:val="334155"/>
          <w:sz w:val="20"/>
        </w:rPr>
        <w:t>Every requirement adheres to standardized identification syntax to facilitate automated bidirectional traceability. Functional requirements are labeled FR-01 through FR-16. Core system objectives are designated O1 through O6. Priority classifications follow IEEE standards: High (mandatory for core operational security and MVP functionality), Medium (essential for operational optimization and user collaboration), and Low (future enhancement). Requirement statements consistently employ the prescriptive normative verb 'shall'.</w:t>
      </w:r>
    </w:p>
    <w:p>
      <w:pPr>
        <w:keepNext/>
        <w:spacing w:before="240" w:after="80"/>
      </w:pPr>
      <w:r>
        <w:rPr>
          <w:rFonts w:ascii="Calibri" w:hAnsi="Calibri"/>
          <w:b/>
          <w:color w:val="2563EB"/>
          <w:sz w:val="26"/>
        </w:rPr>
        <w:t>1.3 Intended Audience</w:t>
      </w:r>
    </w:p>
    <w:p>
      <w:pPr>
        <w:pStyle w:val="ListBullet"/>
        <w:spacing w:before="0" w:after="60" w:line="276" w:lineRule="auto"/>
      </w:pPr>
      <w:r>
        <w:rPr>
          <w:rFonts w:ascii="Calibri" w:hAnsi="Calibri"/>
          <w:b/>
          <w:color w:val="0F172A"/>
          <w:sz w:val="20"/>
        </w:rPr>
        <w:t xml:space="preserve">Faculty Evaluators: </w:t>
      </w:r>
      <w:r>
        <w:rPr>
          <w:rFonts w:ascii="Calibri" w:hAnsi="Calibri"/>
          <w:color w:val="334155"/>
          <w:sz w:val="20"/>
        </w:rPr>
        <w:t>Project Review Board &amp; Evaluation Committee evaluating 20CYS495 Capstone deliverables against IEEE 29148 standards.</w:t>
      </w:r>
    </w:p>
    <w:p>
      <w:pPr>
        <w:pStyle w:val="ListBullet"/>
        <w:spacing w:before="0" w:after="60" w:line="276" w:lineRule="auto"/>
      </w:pPr>
      <w:r>
        <w:rPr>
          <w:rFonts w:ascii="Calibri" w:hAnsi="Calibri"/>
          <w:b/>
          <w:color w:val="0F172A"/>
          <w:sz w:val="20"/>
        </w:rPr>
        <w:t xml:space="preserve">Core Developers: </w:t>
      </w:r>
      <w:r>
        <w:rPr>
          <w:rFonts w:ascii="Calibri" w:hAnsi="Calibri"/>
          <w:color w:val="334155"/>
          <w:sz w:val="20"/>
        </w:rPr>
        <w:t>Software engineers implementing frontend interfaces, backend REST endpoints, and security middleware.</w:t>
      </w:r>
    </w:p>
    <w:p>
      <w:pPr>
        <w:pStyle w:val="ListBullet"/>
        <w:spacing w:before="0" w:after="60" w:line="276" w:lineRule="auto"/>
      </w:pPr>
      <w:r>
        <w:rPr>
          <w:rFonts w:ascii="Calibri" w:hAnsi="Calibri"/>
          <w:b/>
          <w:color w:val="0F172A"/>
          <w:sz w:val="20"/>
        </w:rPr>
        <w:t xml:space="preserve">AppSec &amp; QA Engineers: </w:t>
      </w:r>
      <w:r>
        <w:rPr>
          <w:rFonts w:ascii="Calibri" w:hAnsi="Calibri"/>
          <w:color w:val="334155"/>
          <w:sz w:val="20"/>
        </w:rPr>
        <w:t>Security analysts conducting threat modeling, static/dynamic security analysis, and penetration testing.</w:t>
      </w:r>
    </w:p>
    <w:p>
      <w:pPr>
        <w:pStyle w:val="ListBullet"/>
        <w:spacing w:before="0" w:after="60" w:line="276" w:lineRule="auto"/>
      </w:pPr>
      <w:r>
        <w:rPr>
          <w:rFonts w:ascii="Calibri" w:hAnsi="Calibri"/>
          <w:b/>
          <w:color w:val="0F172A"/>
          <w:sz w:val="20"/>
        </w:rPr>
        <w:t xml:space="preserve">DevSecOps Engineers: </w:t>
      </w:r>
      <w:r>
        <w:rPr>
          <w:rFonts w:ascii="Calibri" w:hAnsi="Calibri"/>
          <w:color w:val="334155"/>
          <w:sz w:val="20"/>
        </w:rPr>
        <w:t>DevSecOps practitioners maintaining automated CI/CD scanning, containerization, and Kubernetes manifests.</w:t>
      </w:r>
    </w:p>
    <w:p>
      <w:pPr>
        <w:keepNext/>
        <w:spacing w:before="240" w:after="80"/>
      </w:pPr>
      <w:r>
        <w:rPr>
          <w:rFonts w:ascii="Calibri" w:hAnsi="Calibri"/>
          <w:b/>
          <w:color w:val="2563EB"/>
          <w:sz w:val="26"/>
        </w:rPr>
        <w:t>1.4 Project Scope</w:t>
      </w:r>
    </w:p>
    <w:p>
      <w:pPr>
        <w:spacing w:before="0" w:after="80" w:line="276" w:lineRule="auto"/>
      </w:pPr>
      <w:r>
        <w:rPr>
          <w:rFonts w:ascii="Calibri" w:hAnsi="Calibri"/>
          <w:color w:val="334155"/>
          <w:sz w:val="20"/>
        </w:rPr>
        <w:t>TripMate provides a unified, secure cloud-native environment where individuals and groups can organize, coordinate, and execute travel plans seamlessly. The platform enables users to create customizable trips, configure sequential destination stops, schedule time-indexed daily itinerary tasks, record shared expenses with multi-participant splits, and execute automated debt settlement calculations. Critical architectural emphasis is placed on Shared-Resource Authorization, eliminating Broken Object Level Authorization (BOLA/IDOR), enforcing strict Role-Based Access Control (RBAC: Owner, Editor, Viewer), protecting participant privacy through multi-tenant data isolation, providing a tamper-evident cryptographic audit trail, and automating security validation across the DevSecOps CI/CD delivery pipeline.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160" w:type="dxa"/>
            </w:tcMar>
            <w:tcBorders>
              <w:left w:val="single" w:sz="24" w:space="0" w:color="2563EB"/>
              <w:top w:val="none"/>
              <w:right w:val="none"/>
              <w:bottom w:val="none"/>
            </w:tcBorders>
          </w:tcPr>
          <w:p>
            <w:pPr>
              <w:spacing w:before="0" w:after="40"/>
            </w:pPr>
            <w:r>
              <w:rPr>
                <w:rFonts w:ascii="Calibri" w:hAnsi="Calibri"/>
                <w:b/>
                <w:color w:val="2563EB"/>
                <w:sz w:val="19"/>
              </w:rPr>
              <w:t xml:space="preserve">[BOUNDARY SPECIFICATION] </w:t>
            </w:r>
            <w:r>
              <w:rPr>
                <w:rFonts w:ascii="Calibri" w:hAnsi="Calibri"/>
                <w:i/>
                <w:color w:val="334155"/>
                <w:sz w:val="19"/>
              </w:rPr>
              <w:t>Out of scope for Phase 1: Real-time GPS vehicle tracking, automated flight booking transaction processing, and proprietary payment gateway disbursement. Expense settlement provides optimal calculation vectors but leaves actual fiat disbursement to users.</w:t>
            </w:r>
          </w:p>
        </w:tc>
      </w:tr>
    </w:tbl>
    <w:p>
      <w:pPr>
        <w:spacing w:after="80"/>
      </w:pPr>
    </w:p>
    <w:p>
      <w:pPr>
        <w:keepNext/>
        <w:spacing w:before="240" w:after="80"/>
      </w:pPr>
      <w:r>
        <w:rPr>
          <w:rFonts w:ascii="Calibri" w:hAnsi="Calibri"/>
          <w:b/>
          <w:color w:val="2563EB"/>
          <w:sz w:val="26"/>
        </w:rPr>
        <w:t>1.5 Definitions, Acronyms, and Abbreviations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160"/>
            <w:shd w:fill="1E3A8A"/>
            <w:tcMar>
              <w:top w:w="140" w:type="dxa"/>
              <w:bottom w:w="140" w:type="dxa"/>
              <w:left w:w="160" w:type="dxa"/>
              <w:right w:w="160" w:type="dxa"/>
            </w:tcMar>
          </w:tcPr>
          <w:p>
            <w:pPr>
              <w:jc w:val="left"/>
            </w:pPr>
            <w:r>
              <w:rPr>
                <w:rFonts w:ascii="Calibri" w:hAnsi="Calibri"/>
                <w:b/>
                <w:color w:val="FFFFFF"/>
                <w:sz w:val="20"/>
              </w:rPr>
              <w:t>Acronym</w:t>
            </w:r>
          </w:p>
        </w:tc>
        <w:tc>
          <w:tcPr>
            <w:tcW w:type="dxa" w:w="7200"/>
            <w:shd w:fill="1E3A8A"/>
            <w:tcMar>
              <w:top w:w="140" w:type="dxa"/>
              <w:bottom w:w="140" w:type="dxa"/>
              <w:left w:w="160" w:type="dxa"/>
              <w:right w:w="160" w:type="dxa"/>
            </w:tcMar>
          </w:tcPr>
          <w:p>
            <w:pPr>
              <w:jc w:val="left"/>
            </w:pPr>
            <w:r>
              <w:rPr>
                <w:rFonts w:ascii="Calibri" w:hAnsi="Calibri"/>
                <w:b/>
                <w:color w:val="FFFFFF"/>
                <w:sz w:val="20"/>
              </w:rPr>
              <w:t>Definition &amp; Contextual Scope</w:t>
            </w:r>
          </w:p>
        </w:tc>
      </w:tr>
      <w:tr>
        <w:tc>
          <w:tcPr>
            <w:tcW w:type="dxa" w:w="2160"/>
            <w:shd w:fill="FFFFFF"/>
            <w:tcMar>
              <w:top w:w="100" w:type="dxa"/>
              <w:bottom w:w="100" w:type="dxa"/>
              <w:left w:w="160" w:type="dxa"/>
              <w:right w:w="160" w:type="dxa"/>
            </w:tcMar>
          </w:tcPr>
          <w:p>
            <w:pPr>
              <w:jc w:val="left"/>
            </w:pPr>
            <w:r>
              <w:rPr>
                <w:rFonts w:ascii="Calibri" w:hAnsi="Calibri"/>
                <w:color w:val="1E293B"/>
                <w:sz w:val="19"/>
              </w:rPr>
              <w:t>RBAC</w:t>
            </w:r>
          </w:p>
        </w:tc>
        <w:tc>
          <w:tcPr>
            <w:tcW w:type="dxa" w:w="7200"/>
            <w:shd w:fill="FFFFFF"/>
            <w:tcMar>
              <w:top w:w="100" w:type="dxa"/>
              <w:bottom w:w="100" w:type="dxa"/>
              <w:left w:w="160" w:type="dxa"/>
              <w:right w:w="160" w:type="dxa"/>
            </w:tcMar>
          </w:tcPr>
          <w:p>
            <w:pPr>
              <w:jc w:val="left"/>
            </w:pPr>
            <w:r>
              <w:rPr>
                <w:rFonts w:ascii="Calibri" w:hAnsi="Calibri"/>
                <w:color w:val="1E293B"/>
                <w:sz w:val="19"/>
              </w:rPr>
              <w:t>Role-Based Access Control — An authorization mechanism governing resource actions based on assigned roles.</w:t>
            </w:r>
          </w:p>
        </w:tc>
      </w:tr>
      <w:tr>
        <w:tc>
          <w:tcPr>
            <w:tcW w:type="dxa" w:w="2160"/>
            <w:shd w:fill="F8FAFC"/>
            <w:tcMar>
              <w:top w:w="100" w:type="dxa"/>
              <w:bottom w:w="100" w:type="dxa"/>
              <w:left w:w="160" w:type="dxa"/>
              <w:right w:w="160" w:type="dxa"/>
            </w:tcMar>
          </w:tcPr>
          <w:p>
            <w:pPr>
              <w:jc w:val="left"/>
            </w:pPr>
            <w:r>
              <w:rPr>
                <w:rFonts w:ascii="Calibri" w:hAnsi="Calibri"/>
                <w:color w:val="1E293B"/>
                <w:sz w:val="19"/>
              </w:rPr>
              <w:t>BOLA / IDOR</w:t>
            </w:r>
          </w:p>
        </w:tc>
        <w:tc>
          <w:tcPr>
            <w:tcW w:type="dxa" w:w="7200"/>
            <w:shd w:fill="F8FAFC"/>
            <w:tcMar>
              <w:top w:w="100" w:type="dxa"/>
              <w:bottom w:w="100" w:type="dxa"/>
              <w:left w:w="160" w:type="dxa"/>
              <w:right w:w="160" w:type="dxa"/>
            </w:tcMar>
          </w:tcPr>
          <w:p>
            <w:pPr>
              <w:jc w:val="left"/>
            </w:pPr>
            <w:r>
              <w:rPr>
                <w:rFonts w:ascii="Calibri" w:hAnsi="Calibri"/>
                <w:color w:val="1E293B"/>
                <w:sz w:val="19"/>
              </w:rPr>
              <w:t>Broken Object Level Authorization / Insecure Direct Object References (OWASP API Security Top 1).</w:t>
            </w:r>
          </w:p>
        </w:tc>
      </w:tr>
      <w:tr>
        <w:tc>
          <w:tcPr>
            <w:tcW w:type="dxa" w:w="2160"/>
            <w:shd w:fill="FFFFFF"/>
            <w:tcMar>
              <w:top w:w="100" w:type="dxa"/>
              <w:bottom w:w="100" w:type="dxa"/>
              <w:left w:w="160" w:type="dxa"/>
              <w:right w:w="160" w:type="dxa"/>
            </w:tcMar>
          </w:tcPr>
          <w:p>
            <w:pPr>
              <w:jc w:val="left"/>
            </w:pPr>
            <w:r>
              <w:rPr>
                <w:rFonts w:ascii="Calibri" w:hAnsi="Calibri"/>
                <w:color w:val="1E293B"/>
                <w:sz w:val="19"/>
              </w:rPr>
              <w:t>JWT</w:t>
            </w:r>
          </w:p>
        </w:tc>
        <w:tc>
          <w:tcPr>
            <w:tcW w:type="dxa" w:w="7200"/>
            <w:shd w:fill="FFFFFF"/>
            <w:tcMar>
              <w:top w:w="100" w:type="dxa"/>
              <w:bottom w:w="100" w:type="dxa"/>
              <w:left w:w="160" w:type="dxa"/>
              <w:right w:w="160" w:type="dxa"/>
            </w:tcMar>
          </w:tcPr>
          <w:p>
            <w:pPr>
              <w:jc w:val="left"/>
            </w:pPr>
            <w:r>
              <w:rPr>
                <w:rFonts w:ascii="Calibri" w:hAnsi="Calibri"/>
                <w:color w:val="1E293B"/>
                <w:sz w:val="19"/>
              </w:rPr>
              <w:t>JSON Web Token — An open standard (RFC 7519) compact, URL-safe container for cryptographically signed claims.</w:t>
            </w:r>
          </w:p>
        </w:tc>
      </w:tr>
      <w:tr>
        <w:tc>
          <w:tcPr>
            <w:tcW w:type="dxa" w:w="2160"/>
            <w:shd w:fill="F8FAFC"/>
            <w:tcMar>
              <w:top w:w="100" w:type="dxa"/>
              <w:bottom w:w="100" w:type="dxa"/>
              <w:left w:w="160" w:type="dxa"/>
              <w:right w:w="160" w:type="dxa"/>
            </w:tcMar>
          </w:tcPr>
          <w:p>
            <w:pPr>
              <w:jc w:val="left"/>
            </w:pPr>
            <w:r>
              <w:rPr>
                <w:rFonts w:ascii="Calibri" w:hAnsi="Calibri"/>
                <w:color w:val="1E293B"/>
                <w:sz w:val="19"/>
              </w:rPr>
              <w:t>STRIDE</w:t>
            </w:r>
          </w:p>
        </w:tc>
        <w:tc>
          <w:tcPr>
            <w:tcW w:type="dxa" w:w="7200"/>
            <w:shd w:fill="F8FAFC"/>
            <w:tcMar>
              <w:top w:w="100" w:type="dxa"/>
              <w:bottom w:w="100" w:type="dxa"/>
              <w:left w:w="160" w:type="dxa"/>
              <w:right w:w="160" w:type="dxa"/>
            </w:tcMar>
          </w:tcPr>
          <w:p>
            <w:pPr>
              <w:jc w:val="left"/>
            </w:pPr>
            <w:r>
              <w:rPr>
                <w:rFonts w:ascii="Calibri" w:hAnsi="Calibri"/>
                <w:color w:val="1E293B"/>
                <w:sz w:val="19"/>
              </w:rPr>
              <w:t>Threat classification model: Spoofing, Tampering, Repudiation, Information Disclosure, Denial of Service, Elevation of Privilege.</w:t>
            </w:r>
          </w:p>
        </w:tc>
      </w:tr>
      <w:tr>
        <w:tc>
          <w:tcPr>
            <w:tcW w:type="dxa" w:w="2160"/>
            <w:shd w:fill="FFFFFF"/>
            <w:tcMar>
              <w:top w:w="100" w:type="dxa"/>
              <w:bottom w:w="100" w:type="dxa"/>
              <w:left w:w="160" w:type="dxa"/>
              <w:right w:w="160" w:type="dxa"/>
            </w:tcMar>
          </w:tcPr>
          <w:p>
            <w:pPr>
              <w:jc w:val="left"/>
            </w:pPr>
            <w:r>
              <w:rPr>
                <w:rFonts w:ascii="Calibri" w:hAnsi="Calibri"/>
                <w:color w:val="1E293B"/>
                <w:sz w:val="19"/>
              </w:rPr>
              <w:t>SAST / DAST</w:t>
            </w:r>
          </w:p>
        </w:tc>
        <w:tc>
          <w:tcPr>
            <w:tcW w:type="dxa" w:w="7200"/>
            <w:shd w:fill="FFFFFF"/>
            <w:tcMar>
              <w:top w:w="100" w:type="dxa"/>
              <w:bottom w:w="100" w:type="dxa"/>
              <w:left w:w="160" w:type="dxa"/>
              <w:right w:w="160" w:type="dxa"/>
            </w:tcMar>
          </w:tcPr>
          <w:p>
            <w:pPr>
              <w:jc w:val="left"/>
            </w:pPr>
            <w:r>
              <w:rPr>
                <w:rFonts w:ascii="Calibri" w:hAnsi="Calibri"/>
                <w:color w:val="1E293B"/>
                <w:sz w:val="19"/>
              </w:rPr>
              <w:t>Static / Dynamic Application Security Testing — Automated source code and runtime penetration scanning tools.</w:t>
            </w:r>
          </w:p>
        </w:tc>
      </w:tr>
      <w:tr>
        <w:tc>
          <w:tcPr>
            <w:tcW w:type="dxa" w:w="2160"/>
            <w:shd w:fill="F8FAFC"/>
            <w:tcMar>
              <w:top w:w="100" w:type="dxa"/>
              <w:bottom w:w="100" w:type="dxa"/>
              <w:left w:w="160" w:type="dxa"/>
              <w:right w:w="160" w:type="dxa"/>
            </w:tcMar>
          </w:tcPr>
          <w:p>
            <w:pPr>
              <w:jc w:val="left"/>
            </w:pPr>
            <w:r>
              <w:rPr>
                <w:rFonts w:ascii="Calibri" w:hAnsi="Calibri"/>
                <w:color w:val="1E293B"/>
                <w:sz w:val="19"/>
              </w:rPr>
              <w:t>SCA</w:t>
            </w:r>
          </w:p>
        </w:tc>
        <w:tc>
          <w:tcPr>
            <w:tcW w:type="dxa" w:w="7200"/>
            <w:shd w:fill="F8FAFC"/>
            <w:tcMar>
              <w:top w:w="100" w:type="dxa"/>
              <w:bottom w:w="100" w:type="dxa"/>
              <w:left w:w="160" w:type="dxa"/>
              <w:right w:w="160" w:type="dxa"/>
            </w:tcMar>
          </w:tcPr>
          <w:p>
            <w:pPr>
              <w:jc w:val="left"/>
            </w:pPr>
            <w:r>
              <w:rPr>
                <w:rFonts w:ascii="Calibri" w:hAnsi="Calibri"/>
                <w:color w:val="1E293B"/>
                <w:sz w:val="19"/>
              </w:rPr>
              <w:t>Software Composition Analysis — Automated detection of known Common Vulnerabilities and Exposures (CVEs) in third-party libraries.</w:t>
            </w:r>
          </w:p>
        </w:tc>
      </w:tr>
      <w:tr>
        <w:tc>
          <w:tcPr>
            <w:tcW w:type="dxa" w:w="2160"/>
            <w:shd w:fill="FFFFFF"/>
            <w:tcMar>
              <w:top w:w="100" w:type="dxa"/>
              <w:bottom w:w="100" w:type="dxa"/>
              <w:left w:w="160" w:type="dxa"/>
              <w:right w:w="160" w:type="dxa"/>
            </w:tcMar>
          </w:tcPr>
          <w:p>
            <w:pPr>
              <w:jc w:val="left"/>
            </w:pPr>
            <w:r>
              <w:rPr>
                <w:rFonts w:ascii="Calibri" w:hAnsi="Calibri"/>
                <w:color w:val="1E293B"/>
                <w:sz w:val="19"/>
              </w:rPr>
              <w:t>HMAC</w:t>
            </w:r>
          </w:p>
        </w:tc>
        <w:tc>
          <w:tcPr>
            <w:tcW w:type="dxa" w:w="7200"/>
            <w:shd w:fill="FFFFFF"/>
            <w:tcMar>
              <w:top w:w="100" w:type="dxa"/>
              <w:bottom w:w="100" w:type="dxa"/>
              <w:left w:w="160" w:type="dxa"/>
              <w:right w:w="160" w:type="dxa"/>
            </w:tcMar>
          </w:tcPr>
          <w:p>
            <w:pPr>
              <w:jc w:val="left"/>
            </w:pPr>
            <w:r>
              <w:rPr>
                <w:rFonts w:ascii="Calibri" w:hAnsi="Calibri"/>
                <w:color w:val="1E293B"/>
                <w:sz w:val="19"/>
              </w:rPr>
              <w:t>Hash-based Message Authentication Code — Cryptographic construction verifying data authenticity and integrity.</w:t>
            </w:r>
          </w:p>
        </w:tc>
      </w:tr>
      <w:tr>
        <w:tc>
          <w:tcPr>
            <w:tcW w:type="dxa" w:w="2160"/>
            <w:shd w:fill="F8FAFC"/>
            <w:tcMar>
              <w:top w:w="100" w:type="dxa"/>
              <w:bottom w:w="100" w:type="dxa"/>
              <w:left w:w="160" w:type="dxa"/>
              <w:right w:w="160" w:type="dxa"/>
            </w:tcMar>
          </w:tcPr>
          <w:p>
            <w:pPr>
              <w:jc w:val="left"/>
            </w:pPr>
            <w:r>
              <w:rPr>
                <w:rFonts w:ascii="Calibri" w:hAnsi="Calibri"/>
                <w:color w:val="1E293B"/>
                <w:sz w:val="19"/>
              </w:rPr>
              <w:t>HPA</w:t>
            </w:r>
          </w:p>
        </w:tc>
        <w:tc>
          <w:tcPr>
            <w:tcW w:type="dxa" w:w="7200"/>
            <w:shd w:fill="F8FAFC"/>
            <w:tcMar>
              <w:top w:w="100" w:type="dxa"/>
              <w:bottom w:w="100" w:type="dxa"/>
              <w:left w:w="160" w:type="dxa"/>
              <w:right w:w="160" w:type="dxa"/>
            </w:tcMar>
          </w:tcPr>
          <w:p>
            <w:pPr>
              <w:jc w:val="left"/>
            </w:pPr>
            <w:r>
              <w:rPr>
                <w:rFonts w:ascii="Calibri" w:hAnsi="Calibri"/>
                <w:color w:val="1E293B"/>
                <w:sz w:val="19"/>
              </w:rPr>
              <w:t>Horizontal Pod Autoscaler — Kubernetes mechanism dynamically scaling container replicas based on resource metrics.</w:t>
            </w:r>
          </w:p>
        </w:tc>
      </w:tr>
    </w:tbl>
    <w:p>
      <w:pPr>
        <w:keepNext/>
        <w:spacing w:before="360" w:after="120"/>
      </w:pPr>
      <w:r>
        <w:rPr>
          <w:rFonts w:ascii="Calibri" w:hAnsi="Calibri"/>
          <w:b/>
          <w:color w:val="1E3A8A"/>
          <w:sz w:val="32"/>
        </w:rPr>
        <w:t>2. Overall Description</w:t>
      </w:r>
    </w:p>
    <w:p>
      <w:pPr>
        <w:keepNext/>
        <w:spacing w:before="240" w:after="80"/>
      </w:pPr>
      <w:r>
        <w:rPr>
          <w:rFonts w:ascii="Calibri" w:hAnsi="Calibri"/>
          <w:b/>
          <w:color w:val="2563EB"/>
          <w:sz w:val="26"/>
        </w:rPr>
        <w:t>2.1 Product Perspective</w:t>
      </w:r>
    </w:p>
    <w:p>
      <w:pPr>
        <w:spacing w:before="0" w:after="80" w:line="276" w:lineRule="auto"/>
      </w:pPr>
      <w:r>
        <w:rPr>
          <w:rFonts w:ascii="Calibri" w:hAnsi="Calibri"/>
          <w:color w:val="334155"/>
          <w:sz w:val="20"/>
        </w:rPr>
        <w:t>TripMate operates as a standalone, multi-tenant web application engineered with modern three-tier microservices-ready architecture. It integrates client-side single page rendering with a high-throughput Node.js/Express RESTful backend, secure ACID-compliant persistence, containerized deployment via Docker, and orchestration through Kubernetes. TripMate solves the systemic vulnerability of contemporary consumer travel apps where trip itineraries, budgets, and participant lists are routinely exposed to unauthorized actors through unprotected object parameters.</w:t>
      </w:r>
    </w:p>
    <w:p>
      <w:pPr>
        <w:keepNext/>
        <w:spacing w:before="240" w:after="80"/>
      </w:pPr>
      <w:r>
        <w:rPr>
          <w:rFonts w:ascii="Calibri" w:hAnsi="Calibri"/>
          <w:b/>
          <w:color w:val="2563EB"/>
          <w:sz w:val="26"/>
        </w:rPr>
        <w:t>2.2 Product Functions</w:t>
      </w:r>
    </w:p>
    <w:p>
      <w:pPr>
        <w:spacing w:before="0" w:after="80" w:line="276" w:lineRule="auto"/>
      </w:pPr>
      <w:r>
        <w:rPr>
          <w:rFonts w:ascii="Calibri" w:hAnsi="Calibri"/>
          <w:color w:val="334155"/>
          <w:sz w:val="20"/>
        </w:rPr>
        <w:t>The functional foundation of TripMate is derived from six core strategic objectives (O1–O6):</w:t>
      </w:r>
    </w:p>
    <w:p>
      <w:pPr>
        <w:pStyle w:val="ListBullet"/>
        <w:spacing w:before="0" w:after="60" w:line="276" w:lineRule="auto"/>
      </w:pPr>
      <w:r>
        <w:rPr>
          <w:rFonts w:ascii="Calibri" w:hAnsi="Calibri"/>
          <w:b/>
          <w:color w:val="0F172A"/>
          <w:sz w:val="20"/>
        </w:rPr>
        <w:t xml:space="preserve">O1 — Identity &amp; Authentication: </w:t>
      </w:r>
      <w:r>
        <w:rPr>
          <w:rFonts w:ascii="Calibri" w:hAnsi="Calibri"/>
          <w:color w:val="334155"/>
          <w:sz w:val="20"/>
        </w:rPr>
        <w:t>Deliver zero-trust user onboarding, cryptographic password hashing (bcrypt), and stateless JWT session issuance.</w:t>
      </w:r>
    </w:p>
    <w:p>
      <w:pPr>
        <w:pStyle w:val="ListBullet"/>
        <w:spacing w:before="0" w:after="60" w:line="276" w:lineRule="auto"/>
      </w:pPr>
      <w:r>
        <w:rPr>
          <w:rFonts w:ascii="Calibri" w:hAnsi="Calibri"/>
          <w:b/>
          <w:color w:val="0F172A"/>
          <w:sz w:val="20"/>
        </w:rPr>
        <w:t xml:space="preserve">O2 — Trip &amp; Privacy Management: </w:t>
      </w:r>
      <w:r>
        <w:rPr>
          <w:rFonts w:ascii="Calibri" w:hAnsi="Calibri"/>
          <w:color w:val="334155"/>
          <w:sz w:val="20"/>
        </w:rPr>
        <w:t>Provide granular trip lifecycle management with multi-tenant privacy boundaries and strict ownership protection.</w:t>
      </w:r>
    </w:p>
    <w:p>
      <w:pPr>
        <w:pStyle w:val="ListBullet"/>
        <w:spacing w:before="0" w:after="60" w:line="276" w:lineRule="auto"/>
      </w:pPr>
      <w:r>
        <w:rPr>
          <w:rFonts w:ascii="Calibri" w:hAnsi="Calibri"/>
          <w:b/>
          <w:color w:val="0F172A"/>
          <w:sz w:val="20"/>
        </w:rPr>
        <w:t xml:space="preserve">O3 — Routing &amp; Scheduling: </w:t>
      </w:r>
      <w:r>
        <w:rPr>
          <w:rFonts w:ascii="Calibri" w:hAnsi="Calibri"/>
          <w:color w:val="334155"/>
          <w:sz w:val="20"/>
        </w:rPr>
        <w:t>Enable sequential destination routing and time-stamped itinerary scheduling with designated member responsibility.</w:t>
      </w:r>
    </w:p>
    <w:p>
      <w:pPr>
        <w:pStyle w:val="ListBullet"/>
        <w:spacing w:before="0" w:after="60" w:line="276" w:lineRule="auto"/>
      </w:pPr>
      <w:r>
        <w:rPr>
          <w:rFonts w:ascii="Calibri" w:hAnsi="Calibri"/>
          <w:b/>
          <w:color w:val="0F172A"/>
          <w:sz w:val="20"/>
        </w:rPr>
        <w:t xml:space="preserve">O4 — Financial Settlement: </w:t>
      </w:r>
      <w:r>
        <w:rPr>
          <w:rFonts w:ascii="Calibri" w:hAnsi="Calibri"/>
          <w:color w:val="334155"/>
          <w:sz w:val="20"/>
        </w:rPr>
        <w:t>Execute multi-currency group expense tracking with zero-sum debt settlement optimization ('Who Owes Whom').</w:t>
      </w:r>
    </w:p>
    <w:p>
      <w:pPr>
        <w:pStyle w:val="ListBullet"/>
        <w:spacing w:before="0" w:after="60" w:line="276" w:lineRule="auto"/>
      </w:pPr>
      <w:r>
        <w:rPr>
          <w:rFonts w:ascii="Calibri" w:hAnsi="Calibri"/>
          <w:b/>
          <w:color w:val="0F172A"/>
          <w:sz w:val="20"/>
        </w:rPr>
        <w:t xml:space="preserve">O5 — Authorization &amp; Auditing: </w:t>
      </w:r>
      <w:r>
        <w:rPr>
          <w:rFonts w:ascii="Calibri" w:hAnsi="Calibri"/>
          <w:color w:val="334155"/>
          <w:sz w:val="20"/>
        </w:rPr>
        <w:t>Enforce strict Role-Based Access Control (Owner, Editor, Viewer) and maintain an immutable, tamper-evident audit trail.</w:t>
      </w:r>
    </w:p>
    <w:p>
      <w:pPr>
        <w:pStyle w:val="ListBullet"/>
        <w:spacing w:before="0" w:after="60" w:line="276" w:lineRule="auto"/>
      </w:pPr>
      <w:r>
        <w:rPr>
          <w:rFonts w:ascii="Calibri" w:hAnsi="Calibri"/>
          <w:b/>
          <w:color w:val="0F172A"/>
          <w:sz w:val="20"/>
        </w:rPr>
        <w:t xml:space="preserve">O6 — DevSecOps Pipeline: </w:t>
      </w:r>
      <w:r>
        <w:rPr>
          <w:rFonts w:ascii="Calibri" w:hAnsi="Calibri"/>
          <w:color w:val="334155"/>
          <w:sz w:val="20"/>
        </w:rPr>
        <w:t>Continuously validate security posture via automated SAST, SCA, container scanning, and DAST in CI/CD pipelines.</w:t>
      </w:r>
    </w:p>
    <w:p>
      <w:pPr>
        <w:keepNext/>
        <w:spacing w:before="240" w:after="80"/>
      </w:pPr>
      <w:r>
        <w:rPr>
          <w:rFonts w:ascii="Calibri" w:hAnsi="Calibri"/>
          <w:b/>
          <w:color w:val="2563EB"/>
          <w:sz w:val="26"/>
        </w:rPr>
        <w:t>2.3 User Classes and Characteristics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880"/>
            <w:shd w:fill="1E3A8A"/>
            <w:tcMar>
              <w:top w:w="140" w:type="dxa"/>
              <w:bottom w:w="140" w:type="dxa"/>
              <w:left w:w="160" w:type="dxa"/>
              <w:right w:w="160" w:type="dxa"/>
            </w:tcMar>
          </w:tcPr>
          <w:p>
            <w:pPr>
              <w:jc w:val="left"/>
            </w:pPr>
            <w:r>
              <w:rPr>
                <w:rFonts w:ascii="Calibri" w:hAnsi="Calibri"/>
                <w:b/>
                <w:color w:val="FFFFFF"/>
                <w:sz w:val="20"/>
              </w:rPr>
              <w:t>User Class / Actor</w:t>
            </w:r>
          </w:p>
        </w:tc>
        <w:tc>
          <w:tcPr>
            <w:tcW w:type="dxa" w:w="6480"/>
            <w:shd w:fill="1E3A8A"/>
            <w:tcMar>
              <w:top w:w="140" w:type="dxa"/>
              <w:bottom w:w="140" w:type="dxa"/>
              <w:left w:w="160" w:type="dxa"/>
              <w:right w:w="160" w:type="dxa"/>
            </w:tcMar>
          </w:tcPr>
          <w:p>
            <w:pPr>
              <w:jc w:val="left"/>
            </w:pPr>
            <w:r>
              <w:rPr>
                <w:rFonts w:ascii="Calibri" w:hAnsi="Calibri"/>
                <w:b/>
                <w:color w:val="FFFFFF"/>
                <w:sz w:val="20"/>
              </w:rPr>
              <w:t>Operational Responsibilities &amp; Privilege Profile</w:t>
            </w:r>
          </w:p>
        </w:tc>
      </w:tr>
      <w:tr>
        <w:tc>
          <w:tcPr>
            <w:tcW w:type="dxa" w:w="2880"/>
            <w:shd w:fill="FFFFFF"/>
            <w:tcMar>
              <w:top w:w="100" w:type="dxa"/>
              <w:bottom w:w="100" w:type="dxa"/>
              <w:left w:w="160" w:type="dxa"/>
              <w:right w:w="160" w:type="dxa"/>
            </w:tcMar>
          </w:tcPr>
          <w:p>
            <w:pPr>
              <w:jc w:val="left"/>
            </w:pPr>
            <w:r>
              <w:rPr>
                <w:rFonts w:ascii="Calibri" w:hAnsi="Calibri"/>
                <w:color w:val="1E293B"/>
                <w:sz w:val="19"/>
              </w:rPr>
              <w:t>Trip Owner</w:t>
            </w:r>
          </w:p>
        </w:tc>
        <w:tc>
          <w:tcPr>
            <w:tcW w:type="dxa" w:w="6480"/>
            <w:shd w:fill="FFFFFF"/>
            <w:tcMar>
              <w:top w:w="100" w:type="dxa"/>
              <w:bottom w:w="100" w:type="dxa"/>
              <w:left w:w="160" w:type="dxa"/>
              <w:right w:w="160" w:type="dxa"/>
            </w:tcMar>
          </w:tcPr>
          <w:p>
            <w:pPr>
              <w:jc w:val="left"/>
            </w:pPr>
            <w:r>
              <w:rPr>
                <w:rFonts w:ascii="Calibri" w:hAnsi="Calibri"/>
                <w:color w:val="1E293B"/>
                <w:sz w:val="19"/>
              </w:rPr>
              <w:t>Creator of a trip. Possesses comprehensive administrative authority: can edit trip metadata, manage privacy status, invite/demote/remove collaborators, assign roles, delete the trip, and purge resources. Highest privilege level.</w:t>
            </w:r>
          </w:p>
        </w:tc>
      </w:tr>
      <w:tr>
        <w:tc>
          <w:tcPr>
            <w:tcW w:type="dxa" w:w="2880"/>
            <w:shd w:fill="F8FAFC"/>
            <w:tcMar>
              <w:top w:w="100" w:type="dxa"/>
              <w:bottom w:w="100" w:type="dxa"/>
              <w:left w:w="160" w:type="dxa"/>
              <w:right w:w="160" w:type="dxa"/>
            </w:tcMar>
          </w:tcPr>
          <w:p>
            <w:pPr>
              <w:jc w:val="left"/>
            </w:pPr>
            <w:r>
              <w:rPr>
                <w:rFonts w:ascii="Calibri" w:hAnsi="Calibri"/>
                <w:color w:val="1E293B"/>
                <w:sz w:val="19"/>
              </w:rPr>
              <w:t>Trip Editor</w:t>
            </w:r>
          </w:p>
        </w:tc>
        <w:tc>
          <w:tcPr>
            <w:tcW w:type="dxa" w:w="6480"/>
            <w:shd w:fill="F8FAFC"/>
            <w:tcMar>
              <w:top w:w="100" w:type="dxa"/>
              <w:bottom w:w="100" w:type="dxa"/>
              <w:left w:w="160" w:type="dxa"/>
              <w:right w:w="160" w:type="dxa"/>
            </w:tcMar>
          </w:tcPr>
          <w:p>
            <w:pPr>
              <w:jc w:val="left"/>
            </w:pPr>
            <w:r>
              <w:rPr>
                <w:rFonts w:ascii="Calibri" w:hAnsi="Calibri"/>
                <w:color w:val="1E293B"/>
                <w:sz w:val="19"/>
              </w:rPr>
              <w:t>Active collaborator invited with write privileges. Can add/modify/delete destinations, manage itinerary activities, toggle completion milestones, and log expenses. Cannot invite new members, alter permissions, or delete the trip.</w:t>
            </w:r>
          </w:p>
        </w:tc>
      </w:tr>
      <w:tr>
        <w:tc>
          <w:tcPr>
            <w:tcW w:type="dxa" w:w="2880"/>
            <w:shd w:fill="FFFFFF"/>
            <w:tcMar>
              <w:top w:w="100" w:type="dxa"/>
              <w:bottom w:w="100" w:type="dxa"/>
              <w:left w:w="160" w:type="dxa"/>
              <w:right w:w="160" w:type="dxa"/>
            </w:tcMar>
          </w:tcPr>
          <w:p>
            <w:pPr>
              <w:jc w:val="left"/>
            </w:pPr>
            <w:r>
              <w:rPr>
                <w:rFonts w:ascii="Calibri" w:hAnsi="Calibri"/>
                <w:color w:val="1E293B"/>
                <w:sz w:val="19"/>
              </w:rPr>
              <w:t>Trip Viewer</w:t>
            </w:r>
          </w:p>
        </w:tc>
        <w:tc>
          <w:tcPr>
            <w:tcW w:type="dxa" w:w="6480"/>
            <w:shd w:fill="FFFFFF"/>
            <w:tcMar>
              <w:top w:w="100" w:type="dxa"/>
              <w:bottom w:w="100" w:type="dxa"/>
              <w:left w:w="160" w:type="dxa"/>
              <w:right w:w="160" w:type="dxa"/>
            </w:tcMar>
          </w:tcPr>
          <w:p>
            <w:pPr>
              <w:jc w:val="left"/>
            </w:pPr>
            <w:r>
              <w:rPr>
                <w:rFonts w:ascii="Calibri" w:hAnsi="Calibri"/>
                <w:color w:val="1E293B"/>
                <w:sz w:val="19"/>
              </w:rPr>
              <w:t>Read-only participant. Can view trip overview, explore itinerary timings, inspect destination routes, and view personal debt balances. Barred from making any state modifications.</w:t>
            </w:r>
          </w:p>
        </w:tc>
      </w:tr>
      <w:tr>
        <w:tc>
          <w:tcPr>
            <w:tcW w:type="dxa" w:w="2880"/>
            <w:shd w:fill="F8FAFC"/>
            <w:tcMar>
              <w:top w:w="100" w:type="dxa"/>
              <w:bottom w:w="100" w:type="dxa"/>
              <w:left w:w="160" w:type="dxa"/>
              <w:right w:w="160" w:type="dxa"/>
            </w:tcMar>
          </w:tcPr>
          <w:p>
            <w:pPr>
              <w:jc w:val="left"/>
            </w:pPr>
            <w:r>
              <w:rPr>
                <w:rFonts w:ascii="Calibri" w:hAnsi="Calibri"/>
                <w:color w:val="1E293B"/>
                <w:sz w:val="19"/>
              </w:rPr>
              <w:t>System Administrator</w:t>
            </w:r>
          </w:p>
        </w:tc>
        <w:tc>
          <w:tcPr>
            <w:tcW w:type="dxa" w:w="6480"/>
            <w:shd w:fill="F8FAFC"/>
            <w:tcMar>
              <w:top w:w="100" w:type="dxa"/>
              <w:bottom w:w="100" w:type="dxa"/>
              <w:left w:w="160" w:type="dxa"/>
              <w:right w:w="160" w:type="dxa"/>
            </w:tcMar>
          </w:tcPr>
          <w:p>
            <w:pPr>
              <w:jc w:val="left"/>
            </w:pPr>
            <w:r>
              <w:rPr>
                <w:rFonts w:ascii="Calibri" w:hAnsi="Calibri"/>
                <w:color w:val="1E293B"/>
                <w:sz w:val="19"/>
              </w:rPr>
              <w:t>Platform governance actor. Possesses platform-wide audit inspection authority, monitors system health metrics, reviews security policy violations, and oversees automated DevSecOps telemetry.</w:t>
            </w:r>
          </w:p>
        </w:tc>
      </w:tr>
      <w:tr>
        <w:tc>
          <w:tcPr>
            <w:tcW w:type="dxa" w:w="2880"/>
            <w:shd w:fill="FFFFFF"/>
            <w:tcMar>
              <w:top w:w="100" w:type="dxa"/>
              <w:bottom w:w="100" w:type="dxa"/>
              <w:left w:w="160" w:type="dxa"/>
              <w:right w:w="160" w:type="dxa"/>
            </w:tcMar>
          </w:tcPr>
          <w:p>
            <w:pPr>
              <w:jc w:val="left"/>
            </w:pPr>
            <w:r>
              <w:rPr>
                <w:rFonts w:ascii="Calibri" w:hAnsi="Calibri"/>
                <w:color w:val="1E293B"/>
                <w:sz w:val="19"/>
              </w:rPr>
              <w:t>CI/CD Pipeline Actor</w:t>
            </w:r>
          </w:p>
        </w:tc>
        <w:tc>
          <w:tcPr>
            <w:tcW w:type="dxa" w:w="6480"/>
            <w:shd w:fill="FFFFFF"/>
            <w:tcMar>
              <w:top w:w="100" w:type="dxa"/>
              <w:bottom w:w="100" w:type="dxa"/>
              <w:left w:w="160" w:type="dxa"/>
              <w:right w:w="160" w:type="dxa"/>
            </w:tcMar>
          </w:tcPr>
          <w:p>
            <w:pPr>
              <w:jc w:val="left"/>
            </w:pPr>
            <w:r>
              <w:rPr>
                <w:rFonts w:ascii="Calibri" w:hAnsi="Calibri"/>
                <w:color w:val="1E293B"/>
                <w:sz w:val="19"/>
              </w:rPr>
              <w:t>Automated non-human service actor executing Git-triggered linting, unit/integration test suites, SAST vulnerability scans, container image scans (Trivy), and automated deployment checks.</w:t>
            </w:r>
          </w:p>
        </w:tc>
      </w:tr>
    </w:tbl>
    <w:p>
      <w:pPr>
        <w:keepNext/>
        <w:spacing w:before="240" w:after="80"/>
      </w:pPr>
      <w:r>
        <w:rPr>
          <w:rFonts w:ascii="Calibri" w:hAnsi="Calibri"/>
          <w:b/>
          <w:color w:val="2563EB"/>
          <w:sz w:val="26"/>
        </w:rPr>
        <w:t>2.4 Operating Environment</w:t>
      </w:r>
    </w:p>
    <w:p>
      <w:pPr>
        <w:pStyle w:val="ListBullet"/>
        <w:spacing w:before="0" w:after="60" w:line="276" w:lineRule="auto"/>
      </w:pPr>
      <w:r>
        <w:rPr>
          <w:rFonts w:ascii="Calibri" w:hAnsi="Calibri"/>
          <w:b/>
          <w:color w:val="0F172A"/>
          <w:sz w:val="20"/>
        </w:rPr>
        <w:t xml:space="preserve">Client Tier: </w:t>
      </w:r>
      <w:r>
        <w:rPr>
          <w:rFonts w:ascii="Calibri" w:hAnsi="Calibri"/>
          <w:color w:val="334155"/>
          <w:sz w:val="20"/>
        </w:rPr>
        <w:t>Any modern ECMAScript 2022+ web browser supporting TLS 1.3 (Chrome 110+, Firefox 115+, Safari 16+, Edge 110+).</w:t>
      </w:r>
    </w:p>
    <w:p>
      <w:pPr>
        <w:pStyle w:val="ListBullet"/>
        <w:spacing w:before="0" w:after="60" w:line="276" w:lineRule="auto"/>
      </w:pPr>
      <w:r>
        <w:rPr>
          <w:rFonts w:ascii="Calibri" w:hAnsi="Calibri"/>
          <w:b/>
          <w:color w:val="0F172A"/>
          <w:sz w:val="20"/>
        </w:rPr>
        <w:t xml:space="preserve">Application Server: </w:t>
      </w:r>
      <w:r>
        <w:rPr>
          <w:rFonts w:ascii="Calibri" w:hAnsi="Calibri"/>
          <w:color w:val="334155"/>
          <w:sz w:val="20"/>
        </w:rPr>
        <w:t>Node.js v20.x LTS runtime on Linux (Ubuntu 22.04 LTS / Alpine 3.19) executing Express REST API services.</w:t>
      </w:r>
    </w:p>
    <w:p>
      <w:pPr>
        <w:pStyle w:val="ListBullet"/>
        <w:spacing w:before="0" w:after="60" w:line="276" w:lineRule="auto"/>
      </w:pPr>
      <w:r>
        <w:rPr>
          <w:rFonts w:ascii="Calibri" w:hAnsi="Calibri"/>
          <w:b/>
          <w:color w:val="0F172A"/>
          <w:sz w:val="20"/>
        </w:rPr>
        <w:t xml:space="preserve">Persistence Tier: </w:t>
      </w:r>
      <w:r>
        <w:rPr>
          <w:rFonts w:ascii="Calibri" w:hAnsi="Calibri"/>
          <w:color w:val="334155"/>
          <w:sz w:val="20"/>
        </w:rPr>
        <w:t>ACID transactional JSON document store with atomic file swapping and locking mechanisms.</w:t>
      </w:r>
    </w:p>
    <w:p>
      <w:pPr>
        <w:pStyle w:val="ListBullet"/>
        <w:spacing w:before="0" w:after="60" w:line="276" w:lineRule="auto"/>
      </w:pPr>
      <w:r>
        <w:rPr>
          <w:rFonts w:ascii="Calibri" w:hAnsi="Calibri"/>
          <w:b/>
          <w:color w:val="0F172A"/>
          <w:sz w:val="20"/>
        </w:rPr>
        <w:t xml:space="preserve">Container Orchestration: </w:t>
      </w:r>
      <w:r>
        <w:rPr>
          <w:rFonts w:ascii="Calibri" w:hAnsi="Calibri"/>
          <w:color w:val="334155"/>
          <w:sz w:val="20"/>
        </w:rPr>
        <w:t>Docker Engine 24+ and Kubernetes / Minikube v1.28+ with Ingress-NGINX and persistent volume claims.</w:t>
      </w:r>
    </w:p>
    <w:p>
      <w:pPr>
        <w:pStyle w:val="ListBullet"/>
        <w:spacing w:before="0" w:after="60" w:line="276" w:lineRule="auto"/>
      </w:pPr>
      <w:r>
        <w:rPr>
          <w:rFonts w:ascii="Calibri" w:hAnsi="Calibri"/>
          <w:b/>
          <w:color w:val="0F172A"/>
          <w:sz w:val="20"/>
        </w:rPr>
        <w:t xml:space="preserve">CI/CD Environment: </w:t>
      </w:r>
      <w:r>
        <w:rPr>
          <w:rFonts w:ascii="Calibri" w:hAnsi="Calibri"/>
          <w:color w:val="334155"/>
          <w:sz w:val="20"/>
        </w:rPr>
        <w:t>GitHub Actions / GitLab CI runner supporting Node.js, Trivy, ESLint, and OWASP ZAP runners.</w:t>
      </w:r>
    </w:p>
    <w:p>
      <w:pPr>
        <w:keepNext/>
        <w:spacing w:before="240" w:after="80"/>
      </w:pPr>
      <w:r>
        <w:rPr>
          <w:rFonts w:ascii="Calibri" w:hAnsi="Calibri"/>
          <w:b/>
          <w:color w:val="2563EB"/>
          <w:sz w:val="26"/>
        </w:rPr>
        <w:t>2.5 Design and Implementation Constraints</w:t>
      </w:r>
    </w:p>
    <w:p>
      <w:pPr>
        <w:pStyle w:val="ListBullet"/>
        <w:spacing w:before="0" w:after="60" w:line="276" w:lineRule="auto"/>
      </w:pPr>
      <w:r>
        <w:rPr>
          <w:rFonts w:ascii="Calibri" w:hAnsi="Calibri"/>
          <w:color w:val="334155"/>
          <w:sz w:val="20"/>
        </w:rPr>
        <w:t>Every authenticated API request must cryptographically validate the JWT Bearer token and enforce trip-level RBAC prior to data access.</w:t>
      </w:r>
    </w:p>
    <w:p>
      <w:pPr>
        <w:pStyle w:val="ListBullet"/>
        <w:spacing w:before="0" w:after="60" w:line="276" w:lineRule="auto"/>
      </w:pPr>
      <w:r>
        <w:rPr>
          <w:rFonts w:ascii="Calibri" w:hAnsi="Calibri"/>
          <w:color w:val="334155"/>
          <w:sz w:val="20"/>
        </w:rPr>
        <w:t>Zero hardcoded demo data: All application states must dynamically initialize from real authenticated user actions.</w:t>
      </w:r>
    </w:p>
    <w:p>
      <w:pPr>
        <w:pStyle w:val="ListBullet"/>
        <w:spacing w:before="0" w:after="60" w:line="276" w:lineRule="auto"/>
      </w:pPr>
      <w:r>
        <w:rPr>
          <w:rFonts w:ascii="Calibri" w:hAnsi="Calibri"/>
          <w:color w:val="334155"/>
          <w:sz w:val="20"/>
        </w:rPr>
        <w:t>Zero trust network model: All external and internal service communications must enforce TLS 1.3 encryption.</w:t>
      </w:r>
    </w:p>
    <w:p>
      <w:pPr>
        <w:pStyle w:val="ListBullet"/>
        <w:spacing w:before="0" w:after="60" w:line="276" w:lineRule="auto"/>
      </w:pPr>
      <w:r>
        <w:rPr>
          <w:rFonts w:ascii="Calibri" w:hAnsi="Calibri"/>
          <w:color w:val="334155"/>
          <w:sz w:val="20"/>
        </w:rPr>
        <w:t>All financial transactions must enforce zero-sum mathematical consistency (Sum of individual member balances == 0).</w:t>
      </w:r>
    </w:p>
    <w:p>
      <w:pPr>
        <w:pStyle w:val="ListBullet"/>
        <w:spacing w:before="0" w:after="60" w:line="276" w:lineRule="auto"/>
      </w:pPr>
      <w:r>
        <w:rPr>
          <w:rFonts w:ascii="Calibri" w:hAnsi="Calibri"/>
          <w:color w:val="334155"/>
          <w:sz w:val="20"/>
        </w:rPr>
        <w:t>Automated CI/CD security gate must fail build pipelines if any High or Critical severity CVE is discovered.</w:t>
      </w:r>
    </w:p>
    <w:p>
      <w:pPr>
        <w:keepNext/>
        <w:spacing w:before="240" w:after="80"/>
      </w:pPr>
      <w:r>
        <w:rPr>
          <w:rFonts w:ascii="Calibri" w:hAnsi="Calibri"/>
          <w:b/>
          <w:color w:val="2563EB"/>
          <w:sz w:val="26"/>
        </w:rPr>
        <w:t>2.6 Assumptions and Dependencies</w:t>
      </w:r>
    </w:p>
    <w:p>
      <w:pPr>
        <w:pStyle w:val="ListBullet"/>
        <w:spacing w:before="0" w:after="60" w:line="276" w:lineRule="auto"/>
      </w:pPr>
      <w:r>
        <w:rPr>
          <w:rFonts w:ascii="Calibri" w:hAnsi="Calibri"/>
          <w:color w:val="334155"/>
          <w:sz w:val="20"/>
        </w:rPr>
        <w:t>Users maintain secure local control of their authentication credentials and devices.</w:t>
      </w:r>
    </w:p>
    <w:p>
      <w:pPr>
        <w:pStyle w:val="ListBullet"/>
        <w:spacing w:before="0" w:after="60" w:line="276" w:lineRule="auto"/>
      </w:pPr>
      <w:r>
        <w:rPr>
          <w:rFonts w:ascii="Calibri" w:hAnsi="Calibri"/>
          <w:color w:val="334155"/>
          <w:sz w:val="20"/>
        </w:rPr>
        <w:t>The container hosting platform provides high-availability network connectivity and persistent block storage.</w:t>
      </w:r>
    </w:p>
    <w:p>
      <w:pPr>
        <w:pStyle w:val="ListBullet"/>
        <w:spacing w:before="0" w:after="60" w:line="276" w:lineRule="auto"/>
      </w:pPr>
      <w:r>
        <w:rPr>
          <w:rFonts w:ascii="Calibri" w:hAnsi="Calibri"/>
          <w:color w:val="334155"/>
          <w:sz w:val="20"/>
        </w:rPr>
        <w:t>External mapping and currency conversion APIs adhere to public RESTful service availability contracts.</w:t>
      </w:r>
    </w:p>
    <w:p>
      <w:r>
        <w:br w:type="page"/>
      </w:r>
    </w:p>
    <w:p>
      <w:pPr>
        <w:keepNext/>
        <w:spacing w:before="360" w:after="120"/>
      </w:pPr>
      <w:r>
        <w:rPr>
          <w:rFonts w:ascii="Calibri" w:hAnsi="Calibri"/>
          <w:b/>
          <w:color w:val="1E3A8A"/>
          <w:sz w:val="32"/>
        </w:rPr>
        <w:t>3. Functional Requirements</w:t>
      </w:r>
    </w:p>
    <w:p>
      <w:pPr>
        <w:spacing w:before="0" w:after="80" w:line="276" w:lineRule="auto"/>
      </w:pPr>
      <w:r>
        <w:rPr>
          <w:rFonts w:ascii="Calibri" w:hAnsi="Calibri"/>
          <w:color w:val="334155"/>
          <w:sz w:val="20"/>
        </w:rPr>
        <w:t>The following matrix outlines the complete, normative functional requirements for TripMate. Each requirement specifies mandatory behaviors, preconditions, priority, and verification methods.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008"/>
            <w:shd w:fill="1E3A8A"/>
            <w:tcMar>
              <w:top w:w="140" w:type="dxa"/>
              <w:bottom w:w="140" w:type="dxa"/>
              <w:left w:w="160" w:type="dxa"/>
              <w:right w:w="160" w:type="dxa"/>
            </w:tcMar>
          </w:tcPr>
          <w:p>
            <w:pPr>
              <w:jc w:val="center"/>
            </w:pPr>
            <w:r>
              <w:rPr>
                <w:rFonts w:ascii="Calibri" w:hAnsi="Calibri"/>
                <w:b/>
                <w:color w:val="FFFFFF"/>
                <w:sz w:val="20"/>
              </w:rPr>
              <w:t>ID</w:t>
            </w:r>
          </w:p>
        </w:tc>
        <w:tc>
          <w:tcPr>
            <w:tcW w:type="dxa" w:w="1728"/>
            <w:shd w:fill="1E3A8A"/>
            <w:tcMar>
              <w:top w:w="140" w:type="dxa"/>
              <w:bottom w:w="140" w:type="dxa"/>
              <w:left w:w="160" w:type="dxa"/>
              <w:right w:w="160" w:type="dxa"/>
            </w:tcMar>
          </w:tcPr>
          <w:p>
            <w:pPr>
              <w:jc w:val="left"/>
            </w:pPr>
            <w:r>
              <w:rPr>
                <w:rFonts w:ascii="Calibri" w:hAnsi="Calibri"/>
                <w:b/>
                <w:color w:val="FFFFFF"/>
                <w:sz w:val="20"/>
              </w:rPr>
              <w:t>Title</w:t>
            </w:r>
          </w:p>
        </w:tc>
        <w:tc>
          <w:tcPr>
            <w:tcW w:type="dxa" w:w="3600"/>
            <w:shd w:fill="1E3A8A"/>
            <w:tcMar>
              <w:top w:w="140" w:type="dxa"/>
              <w:bottom w:w="140" w:type="dxa"/>
              <w:left w:w="160" w:type="dxa"/>
              <w:right w:w="160" w:type="dxa"/>
            </w:tcMar>
          </w:tcPr>
          <w:p>
            <w:pPr>
              <w:jc w:val="left"/>
            </w:pPr>
            <w:r>
              <w:rPr>
                <w:rFonts w:ascii="Calibri" w:hAnsi="Calibri"/>
                <w:b/>
                <w:color w:val="FFFFFF"/>
                <w:sz w:val="20"/>
              </w:rPr>
              <w:t>Requirement Description</w:t>
            </w:r>
          </w:p>
        </w:tc>
        <w:tc>
          <w:tcPr>
            <w:tcW w:type="dxa" w:w="720"/>
            <w:shd w:fill="1E3A8A"/>
            <w:tcMar>
              <w:top w:w="140" w:type="dxa"/>
              <w:bottom w:w="140" w:type="dxa"/>
              <w:left w:w="160" w:type="dxa"/>
              <w:right w:w="160" w:type="dxa"/>
            </w:tcMar>
          </w:tcPr>
          <w:p>
            <w:pPr>
              <w:jc w:val="center"/>
            </w:pPr>
            <w:r>
              <w:rPr>
                <w:rFonts w:ascii="Calibri" w:hAnsi="Calibri"/>
                <w:b/>
                <w:color w:val="FFFFFF"/>
                <w:sz w:val="20"/>
              </w:rPr>
              <w:t>Pri</w:t>
            </w:r>
          </w:p>
        </w:tc>
        <w:tc>
          <w:tcPr>
            <w:tcW w:type="dxa" w:w="1296"/>
            <w:shd w:fill="1E3A8A"/>
            <w:tcMar>
              <w:top w:w="140" w:type="dxa"/>
              <w:bottom w:w="140" w:type="dxa"/>
              <w:left w:w="160" w:type="dxa"/>
              <w:right w:w="160" w:type="dxa"/>
            </w:tcMar>
          </w:tcPr>
          <w:p>
            <w:pPr>
              <w:jc w:val="left"/>
            </w:pPr>
            <w:r>
              <w:rPr>
                <w:rFonts w:ascii="Calibri" w:hAnsi="Calibri"/>
                <w:b/>
                <w:color w:val="FFFFFF"/>
                <w:sz w:val="20"/>
              </w:rPr>
              <w:t>Preconditions</w:t>
            </w:r>
          </w:p>
        </w:tc>
        <w:tc>
          <w:tcPr>
            <w:tcW w:type="dxa" w:w="1008"/>
            <w:shd w:fill="1E3A8A"/>
            <w:tcMar>
              <w:top w:w="140" w:type="dxa"/>
              <w:bottom w:w="140" w:type="dxa"/>
              <w:left w:w="160" w:type="dxa"/>
              <w:right w:w="160" w:type="dxa"/>
            </w:tcMar>
          </w:tcPr>
          <w:p>
            <w:pPr>
              <w:jc w:val="left"/>
            </w:pPr>
            <w:r>
              <w:rPr>
                <w:rFonts w:ascii="Calibri" w:hAnsi="Calibri"/>
                <w:b/>
                <w:color w:val="FFFFFF"/>
                <w:sz w:val="20"/>
              </w:rPr>
              <w:t>Verification</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FR-01</w:t>
            </w:r>
          </w:p>
        </w:tc>
        <w:tc>
          <w:tcPr>
            <w:tcW w:type="dxa" w:w="1728"/>
            <w:shd w:fill="FFFFFF"/>
            <w:tcMar>
              <w:top w:w="100" w:type="dxa"/>
              <w:bottom w:w="100" w:type="dxa"/>
              <w:left w:w="160" w:type="dxa"/>
              <w:right w:w="160" w:type="dxa"/>
            </w:tcMar>
          </w:tcPr>
          <w:p>
            <w:pPr>
              <w:jc w:val="left"/>
            </w:pPr>
            <w:r>
              <w:rPr>
                <w:rFonts w:ascii="Calibri" w:hAnsi="Calibri"/>
                <w:color w:val="1E293B"/>
                <w:sz w:val="19"/>
              </w:rPr>
              <w:t>User Registration &amp; Credential Security</w:t>
            </w:r>
          </w:p>
        </w:tc>
        <w:tc>
          <w:tcPr>
            <w:tcW w:type="dxa" w:w="3600"/>
            <w:shd w:fill="FFFFFF"/>
            <w:tcMar>
              <w:top w:w="100" w:type="dxa"/>
              <w:bottom w:w="100" w:type="dxa"/>
              <w:left w:w="160" w:type="dxa"/>
              <w:right w:w="160" w:type="dxa"/>
            </w:tcMar>
          </w:tcPr>
          <w:p>
            <w:pPr>
              <w:jc w:val="left"/>
            </w:pPr>
            <w:r>
              <w:rPr>
                <w:rFonts w:ascii="Calibri" w:hAnsi="Calibri"/>
                <w:color w:val="1E293B"/>
                <w:sz w:val="19"/>
              </w:rPr>
              <w:t>The system shall allow new users to register with a unique email address, display name, and password. Passwords shall be validated against a strong complexity policy (minimum 8 characters, uppercase, lowercase, number) and salted/hashed using bcrypt (cost factor &gt;= 10).</w:t>
            </w:r>
          </w:p>
        </w:tc>
        <w:tc>
          <w:tcPr>
            <w:tcW w:type="dxa" w:w="720"/>
            <w:shd w:fill="FFFFFF"/>
            <w:tcMar>
              <w:top w:w="100" w:type="dxa"/>
              <w:bottom w:w="100" w:type="dxa"/>
              <w:left w:w="160" w:type="dxa"/>
              <w:right w:w="160" w:type="dxa"/>
            </w:tcMar>
          </w:tcPr>
          <w:p>
            <w:pPr>
              <w:jc w:val="center"/>
            </w:pPr>
            <w:r>
              <w:rPr>
                <w:rFonts w:ascii="Calibri" w:hAnsi="Calibri"/>
                <w:color w:val="1E293B"/>
                <w:sz w:val="19"/>
              </w:rPr>
              <w:t>High</w:t>
            </w:r>
          </w:p>
        </w:tc>
        <w:tc>
          <w:tcPr>
            <w:tcW w:type="dxa" w:w="1296"/>
            <w:shd w:fill="FFFFFF"/>
            <w:tcMar>
              <w:top w:w="100" w:type="dxa"/>
              <w:bottom w:w="100" w:type="dxa"/>
              <w:left w:w="160" w:type="dxa"/>
              <w:right w:w="160" w:type="dxa"/>
            </w:tcMar>
          </w:tcPr>
          <w:p>
            <w:pPr>
              <w:jc w:val="left"/>
            </w:pPr>
            <w:r>
              <w:rPr>
                <w:rFonts w:ascii="Calibri" w:hAnsi="Calibri"/>
                <w:color w:val="1E293B"/>
                <w:sz w:val="19"/>
              </w:rPr>
              <w:t>Unregistered email</w:t>
            </w:r>
          </w:p>
        </w:tc>
        <w:tc>
          <w:tcPr>
            <w:tcW w:type="dxa" w:w="1008"/>
            <w:shd w:fill="FFFFFF"/>
            <w:tcMar>
              <w:top w:w="100" w:type="dxa"/>
              <w:bottom w:w="100" w:type="dxa"/>
              <w:left w:w="160" w:type="dxa"/>
              <w:right w:w="160" w:type="dxa"/>
            </w:tcMar>
          </w:tcPr>
          <w:p>
            <w:pPr>
              <w:jc w:val="left"/>
            </w:pPr>
            <w:r>
              <w:rPr>
                <w:rFonts w:ascii="Calibri" w:hAnsi="Calibri"/>
                <w:color w:val="1E293B"/>
                <w:sz w:val="19"/>
              </w:rPr>
              <w:t>Unit &amp; Integration Test</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FR-02</w:t>
            </w:r>
          </w:p>
        </w:tc>
        <w:tc>
          <w:tcPr>
            <w:tcW w:type="dxa" w:w="1728"/>
            <w:shd w:fill="F8FAFC"/>
            <w:tcMar>
              <w:top w:w="100" w:type="dxa"/>
              <w:bottom w:w="100" w:type="dxa"/>
              <w:left w:w="160" w:type="dxa"/>
              <w:right w:w="160" w:type="dxa"/>
            </w:tcMar>
          </w:tcPr>
          <w:p>
            <w:pPr>
              <w:jc w:val="left"/>
            </w:pPr>
            <w:r>
              <w:rPr>
                <w:rFonts w:ascii="Calibri" w:hAnsi="Calibri"/>
                <w:color w:val="1E293B"/>
                <w:sz w:val="19"/>
              </w:rPr>
              <w:t>Cryptographic Authentication &amp; Session Issuance</w:t>
            </w:r>
          </w:p>
        </w:tc>
        <w:tc>
          <w:tcPr>
            <w:tcW w:type="dxa" w:w="3600"/>
            <w:shd w:fill="F8FAFC"/>
            <w:tcMar>
              <w:top w:w="100" w:type="dxa"/>
              <w:bottom w:w="100" w:type="dxa"/>
              <w:left w:w="160" w:type="dxa"/>
              <w:right w:w="160" w:type="dxa"/>
            </w:tcMar>
          </w:tcPr>
          <w:p>
            <w:pPr>
              <w:jc w:val="left"/>
            </w:pPr>
            <w:r>
              <w:rPr>
                <w:rFonts w:ascii="Calibri" w:hAnsi="Calibri"/>
                <w:color w:val="1E293B"/>
                <w:sz w:val="19"/>
              </w:rPr>
              <w:t>The system shall authenticate registered users against bcrypt hashes and issue an HMAC-SHA256 signed JSON Web Token (JWT) containing user ID, email, and role, with a strict 24-hour expiration window.</w:t>
            </w:r>
          </w:p>
        </w:tc>
        <w:tc>
          <w:tcPr>
            <w:tcW w:type="dxa" w:w="720"/>
            <w:shd w:fill="F8FAFC"/>
            <w:tcMar>
              <w:top w:w="100" w:type="dxa"/>
              <w:bottom w:w="100" w:type="dxa"/>
              <w:left w:w="160" w:type="dxa"/>
              <w:right w:w="160" w:type="dxa"/>
            </w:tcMar>
          </w:tcPr>
          <w:p>
            <w:pPr>
              <w:jc w:val="center"/>
            </w:pPr>
            <w:r>
              <w:rPr>
                <w:rFonts w:ascii="Calibri" w:hAnsi="Calibri"/>
                <w:color w:val="1E293B"/>
                <w:sz w:val="19"/>
              </w:rPr>
              <w:t>High</w:t>
            </w:r>
          </w:p>
        </w:tc>
        <w:tc>
          <w:tcPr>
            <w:tcW w:type="dxa" w:w="1296"/>
            <w:shd w:fill="F8FAFC"/>
            <w:tcMar>
              <w:top w:w="100" w:type="dxa"/>
              <w:bottom w:w="100" w:type="dxa"/>
              <w:left w:w="160" w:type="dxa"/>
              <w:right w:w="160" w:type="dxa"/>
            </w:tcMar>
          </w:tcPr>
          <w:p>
            <w:pPr>
              <w:jc w:val="left"/>
            </w:pPr>
            <w:r>
              <w:rPr>
                <w:rFonts w:ascii="Calibri" w:hAnsi="Calibri"/>
                <w:color w:val="1E293B"/>
                <w:sz w:val="19"/>
              </w:rPr>
              <w:t>Valid user credentials</w:t>
            </w:r>
          </w:p>
        </w:tc>
        <w:tc>
          <w:tcPr>
            <w:tcW w:type="dxa" w:w="1008"/>
            <w:shd w:fill="F8FAFC"/>
            <w:tcMar>
              <w:top w:w="100" w:type="dxa"/>
              <w:bottom w:w="100" w:type="dxa"/>
              <w:left w:w="160" w:type="dxa"/>
              <w:right w:w="160" w:type="dxa"/>
            </w:tcMar>
          </w:tcPr>
          <w:p>
            <w:pPr>
              <w:jc w:val="left"/>
            </w:pPr>
            <w:r>
              <w:rPr>
                <w:rFonts w:ascii="Calibri" w:hAnsi="Calibri"/>
                <w:color w:val="1E293B"/>
                <w:sz w:val="19"/>
              </w:rPr>
              <w:t>Automated API Test</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FR-03</w:t>
            </w:r>
          </w:p>
        </w:tc>
        <w:tc>
          <w:tcPr>
            <w:tcW w:type="dxa" w:w="1728"/>
            <w:shd w:fill="FFFFFF"/>
            <w:tcMar>
              <w:top w:w="100" w:type="dxa"/>
              <w:bottom w:w="100" w:type="dxa"/>
              <w:left w:w="160" w:type="dxa"/>
              <w:right w:w="160" w:type="dxa"/>
            </w:tcMar>
          </w:tcPr>
          <w:p>
            <w:pPr>
              <w:jc w:val="left"/>
            </w:pPr>
            <w:r>
              <w:rPr>
                <w:rFonts w:ascii="Calibri" w:hAnsi="Calibri"/>
                <w:color w:val="1E293B"/>
                <w:sz w:val="19"/>
              </w:rPr>
              <w:t>Multi-Tenant Trip Creation &amp; Metadata Management</w:t>
            </w:r>
          </w:p>
        </w:tc>
        <w:tc>
          <w:tcPr>
            <w:tcW w:type="dxa" w:w="3600"/>
            <w:shd w:fill="FFFFFF"/>
            <w:tcMar>
              <w:top w:w="100" w:type="dxa"/>
              <w:bottom w:w="100" w:type="dxa"/>
              <w:left w:w="160" w:type="dxa"/>
              <w:right w:w="160" w:type="dxa"/>
            </w:tcMar>
          </w:tcPr>
          <w:p>
            <w:pPr>
              <w:jc w:val="left"/>
            </w:pPr>
            <w:r>
              <w:rPr>
                <w:rFonts w:ascii="Calibri" w:hAnsi="Calibri"/>
                <w:color w:val="1E293B"/>
                <w:sz w:val="19"/>
              </w:rPr>
              <w:t>The system shall enable authenticated users to create trips specifying title, destination country, date range, total budget, and privacy toggle (Private vs Shared). The creator shall be atomically assigned the 'owner' role.</w:t>
            </w:r>
          </w:p>
        </w:tc>
        <w:tc>
          <w:tcPr>
            <w:tcW w:type="dxa" w:w="720"/>
            <w:shd w:fill="FFFFFF"/>
            <w:tcMar>
              <w:top w:w="100" w:type="dxa"/>
              <w:bottom w:w="100" w:type="dxa"/>
              <w:left w:w="160" w:type="dxa"/>
              <w:right w:w="160" w:type="dxa"/>
            </w:tcMar>
          </w:tcPr>
          <w:p>
            <w:pPr>
              <w:jc w:val="center"/>
            </w:pPr>
            <w:r>
              <w:rPr>
                <w:rFonts w:ascii="Calibri" w:hAnsi="Calibri"/>
                <w:color w:val="1E293B"/>
                <w:sz w:val="19"/>
              </w:rPr>
              <w:t>High</w:t>
            </w:r>
          </w:p>
        </w:tc>
        <w:tc>
          <w:tcPr>
            <w:tcW w:type="dxa" w:w="1296"/>
            <w:shd w:fill="FFFFFF"/>
            <w:tcMar>
              <w:top w:w="100" w:type="dxa"/>
              <w:bottom w:w="100" w:type="dxa"/>
              <w:left w:w="160" w:type="dxa"/>
              <w:right w:w="160" w:type="dxa"/>
            </w:tcMar>
          </w:tcPr>
          <w:p>
            <w:pPr>
              <w:jc w:val="left"/>
            </w:pPr>
            <w:r>
              <w:rPr>
                <w:rFonts w:ascii="Calibri" w:hAnsi="Calibri"/>
                <w:color w:val="1E293B"/>
                <w:sz w:val="19"/>
              </w:rPr>
              <w:t>Authenticated session</w:t>
            </w:r>
          </w:p>
        </w:tc>
        <w:tc>
          <w:tcPr>
            <w:tcW w:type="dxa" w:w="1008"/>
            <w:shd w:fill="FFFFFF"/>
            <w:tcMar>
              <w:top w:w="100" w:type="dxa"/>
              <w:bottom w:w="100" w:type="dxa"/>
              <w:left w:w="160" w:type="dxa"/>
              <w:right w:w="160" w:type="dxa"/>
            </w:tcMar>
          </w:tcPr>
          <w:p>
            <w:pPr>
              <w:jc w:val="left"/>
            </w:pPr>
            <w:r>
              <w:rPr>
                <w:rFonts w:ascii="Calibri" w:hAnsi="Calibri"/>
                <w:color w:val="1E293B"/>
                <w:sz w:val="19"/>
              </w:rPr>
              <w:t>Functional Integration Test</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FR-04</w:t>
            </w:r>
          </w:p>
        </w:tc>
        <w:tc>
          <w:tcPr>
            <w:tcW w:type="dxa" w:w="1728"/>
            <w:shd w:fill="F8FAFC"/>
            <w:tcMar>
              <w:top w:w="100" w:type="dxa"/>
              <w:bottom w:w="100" w:type="dxa"/>
              <w:left w:w="160" w:type="dxa"/>
              <w:right w:w="160" w:type="dxa"/>
            </w:tcMar>
          </w:tcPr>
          <w:p>
            <w:pPr>
              <w:jc w:val="left"/>
            </w:pPr>
            <w:r>
              <w:rPr>
                <w:rFonts w:ascii="Calibri" w:hAnsi="Calibri"/>
                <w:color w:val="1E293B"/>
                <w:sz w:val="19"/>
              </w:rPr>
              <w:t>Role-Based Access Control (RBAC) Enforcement</w:t>
            </w:r>
          </w:p>
        </w:tc>
        <w:tc>
          <w:tcPr>
            <w:tcW w:type="dxa" w:w="3600"/>
            <w:shd w:fill="F8FAFC"/>
            <w:tcMar>
              <w:top w:w="100" w:type="dxa"/>
              <w:bottom w:w="100" w:type="dxa"/>
              <w:left w:w="160" w:type="dxa"/>
              <w:right w:w="160" w:type="dxa"/>
            </w:tcMar>
          </w:tcPr>
          <w:p>
            <w:pPr>
              <w:jc w:val="left"/>
            </w:pPr>
            <w:r>
              <w:rPr>
                <w:rFonts w:ascii="Calibri" w:hAnsi="Calibri"/>
                <w:color w:val="1E293B"/>
                <w:sz w:val="19"/>
              </w:rPr>
              <w:t>The system shall enforce RBAC permissions across all trip sub-resources (destinations, itineraries, expenses, members). Unauthorized access attempts shall be rejected with HTTP 403 Forbidden.</w:t>
            </w:r>
          </w:p>
        </w:tc>
        <w:tc>
          <w:tcPr>
            <w:tcW w:type="dxa" w:w="720"/>
            <w:shd w:fill="F8FAFC"/>
            <w:tcMar>
              <w:top w:w="100" w:type="dxa"/>
              <w:bottom w:w="100" w:type="dxa"/>
              <w:left w:w="160" w:type="dxa"/>
              <w:right w:w="160" w:type="dxa"/>
            </w:tcMar>
          </w:tcPr>
          <w:p>
            <w:pPr>
              <w:jc w:val="center"/>
            </w:pPr>
            <w:r>
              <w:rPr>
                <w:rFonts w:ascii="Calibri" w:hAnsi="Calibri"/>
                <w:color w:val="1E293B"/>
                <w:sz w:val="19"/>
              </w:rPr>
              <w:t>High</w:t>
            </w:r>
          </w:p>
        </w:tc>
        <w:tc>
          <w:tcPr>
            <w:tcW w:type="dxa" w:w="1296"/>
            <w:shd w:fill="F8FAFC"/>
            <w:tcMar>
              <w:top w:w="100" w:type="dxa"/>
              <w:bottom w:w="100" w:type="dxa"/>
              <w:left w:w="160" w:type="dxa"/>
              <w:right w:w="160" w:type="dxa"/>
            </w:tcMar>
          </w:tcPr>
          <w:p>
            <w:pPr>
              <w:jc w:val="left"/>
            </w:pPr>
            <w:r>
              <w:rPr>
                <w:rFonts w:ascii="Calibri" w:hAnsi="Calibri"/>
                <w:color w:val="1E293B"/>
                <w:sz w:val="19"/>
              </w:rPr>
              <w:t>Active trip session</w:t>
            </w:r>
          </w:p>
        </w:tc>
        <w:tc>
          <w:tcPr>
            <w:tcW w:type="dxa" w:w="1008"/>
            <w:shd w:fill="F8FAFC"/>
            <w:tcMar>
              <w:top w:w="100" w:type="dxa"/>
              <w:bottom w:w="100" w:type="dxa"/>
              <w:left w:w="160" w:type="dxa"/>
              <w:right w:w="160" w:type="dxa"/>
            </w:tcMar>
          </w:tcPr>
          <w:p>
            <w:pPr>
              <w:jc w:val="left"/>
            </w:pPr>
            <w:r>
              <w:rPr>
                <w:rFonts w:ascii="Calibri" w:hAnsi="Calibri"/>
                <w:color w:val="1E293B"/>
                <w:sz w:val="19"/>
              </w:rPr>
              <w:t>Security RBAC Suite</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FR-05</w:t>
            </w:r>
          </w:p>
        </w:tc>
        <w:tc>
          <w:tcPr>
            <w:tcW w:type="dxa" w:w="1728"/>
            <w:shd w:fill="FFFFFF"/>
            <w:tcMar>
              <w:top w:w="100" w:type="dxa"/>
              <w:bottom w:w="100" w:type="dxa"/>
              <w:left w:w="160" w:type="dxa"/>
              <w:right w:w="160" w:type="dxa"/>
            </w:tcMar>
          </w:tcPr>
          <w:p>
            <w:pPr>
              <w:jc w:val="left"/>
            </w:pPr>
            <w:r>
              <w:rPr>
                <w:rFonts w:ascii="Calibri" w:hAnsi="Calibri"/>
                <w:color w:val="1E293B"/>
                <w:sz w:val="19"/>
              </w:rPr>
              <w:t>Collaborator Invitation &amp; Role Assignment</w:t>
            </w:r>
          </w:p>
        </w:tc>
        <w:tc>
          <w:tcPr>
            <w:tcW w:type="dxa" w:w="3600"/>
            <w:shd w:fill="FFFFFF"/>
            <w:tcMar>
              <w:top w:w="100" w:type="dxa"/>
              <w:bottom w:w="100" w:type="dxa"/>
              <w:left w:w="160" w:type="dxa"/>
              <w:right w:w="160" w:type="dxa"/>
            </w:tcMar>
          </w:tcPr>
          <w:p>
            <w:pPr>
              <w:jc w:val="left"/>
            </w:pPr>
            <w:r>
              <w:rPr>
                <w:rFonts w:ascii="Calibri" w:hAnsi="Calibri"/>
                <w:color w:val="1E293B"/>
                <w:sz w:val="19"/>
              </w:rPr>
              <w:t>The system shall permit Trip Owners to invite collaborators by email address, assigning them either 'editor' or 'viewer' privileges. Unregistered invitees shall automatically gain trip access upon registration.</w:t>
            </w:r>
          </w:p>
        </w:tc>
        <w:tc>
          <w:tcPr>
            <w:tcW w:type="dxa" w:w="720"/>
            <w:shd w:fill="FFFFFF"/>
            <w:tcMar>
              <w:top w:w="100" w:type="dxa"/>
              <w:bottom w:w="100" w:type="dxa"/>
              <w:left w:w="160" w:type="dxa"/>
              <w:right w:w="160" w:type="dxa"/>
            </w:tcMar>
          </w:tcPr>
          <w:p>
            <w:pPr>
              <w:jc w:val="center"/>
            </w:pPr>
            <w:r>
              <w:rPr>
                <w:rFonts w:ascii="Calibri" w:hAnsi="Calibri"/>
                <w:color w:val="1E293B"/>
                <w:sz w:val="19"/>
              </w:rPr>
              <w:t>High</w:t>
            </w:r>
          </w:p>
        </w:tc>
        <w:tc>
          <w:tcPr>
            <w:tcW w:type="dxa" w:w="1296"/>
            <w:shd w:fill="FFFFFF"/>
            <w:tcMar>
              <w:top w:w="100" w:type="dxa"/>
              <w:bottom w:w="100" w:type="dxa"/>
              <w:left w:w="160" w:type="dxa"/>
              <w:right w:w="160" w:type="dxa"/>
            </w:tcMar>
          </w:tcPr>
          <w:p>
            <w:pPr>
              <w:jc w:val="left"/>
            </w:pPr>
            <w:r>
              <w:rPr>
                <w:rFonts w:ascii="Calibri" w:hAnsi="Calibri"/>
                <w:color w:val="1E293B"/>
                <w:sz w:val="19"/>
              </w:rPr>
              <w:t>Trip Owner authority</w:t>
            </w:r>
          </w:p>
        </w:tc>
        <w:tc>
          <w:tcPr>
            <w:tcW w:type="dxa" w:w="1008"/>
            <w:shd w:fill="FFFFFF"/>
            <w:tcMar>
              <w:top w:w="100" w:type="dxa"/>
              <w:bottom w:w="100" w:type="dxa"/>
              <w:left w:w="160" w:type="dxa"/>
              <w:right w:w="160" w:type="dxa"/>
            </w:tcMar>
          </w:tcPr>
          <w:p>
            <w:pPr>
              <w:jc w:val="left"/>
            </w:pPr>
            <w:r>
              <w:rPr>
                <w:rFonts w:ascii="Calibri" w:hAnsi="Calibri"/>
                <w:color w:val="1E293B"/>
                <w:sz w:val="19"/>
              </w:rPr>
              <w:t>End-to-End Test</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FR-06</w:t>
            </w:r>
          </w:p>
        </w:tc>
        <w:tc>
          <w:tcPr>
            <w:tcW w:type="dxa" w:w="1728"/>
            <w:shd w:fill="F8FAFC"/>
            <w:tcMar>
              <w:top w:w="100" w:type="dxa"/>
              <w:bottom w:w="100" w:type="dxa"/>
              <w:left w:w="160" w:type="dxa"/>
              <w:right w:w="160" w:type="dxa"/>
            </w:tcMar>
          </w:tcPr>
          <w:p>
            <w:pPr>
              <w:jc w:val="left"/>
            </w:pPr>
            <w:r>
              <w:rPr>
                <w:rFonts w:ascii="Calibri" w:hAnsi="Calibri"/>
                <w:color w:val="1E293B"/>
                <w:sz w:val="19"/>
              </w:rPr>
              <w:t>Destination Routing &amp; Sequence Ordering</w:t>
            </w:r>
          </w:p>
        </w:tc>
        <w:tc>
          <w:tcPr>
            <w:tcW w:type="dxa" w:w="3600"/>
            <w:shd w:fill="F8FAFC"/>
            <w:tcMar>
              <w:top w:w="100" w:type="dxa"/>
              <w:bottom w:w="100" w:type="dxa"/>
              <w:left w:w="160" w:type="dxa"/>
              <w:right w:w="160" w:type="dxa"/>
            </w:tcMar>
          </w:tcPr>
          <w:p>
            <w:pPr>
              <w:jc w:val="left"/>
            </w:pPr>
            <w:r>
              <w:rPr>
                <w:rFonts w:ascii="Calibri" w:hAnsi="Calibri"/>
                <w:color w:val="1E293B"/>
                <w:sz w:val="19"/>
              </w:rPr>
              <w:t>The system shall allow Owners and Editors to add, edit, reorder, and remove sequential destination stops with arrival/departure dates, geographic coordinates, and stay notes.</w:t>
            </w:r>
          </w:p>
        </w:tc>
        <w:tc>
          <w:tcPr>
            <w:tcW w:type="dxa" w:w="720"/>
            <w:shd w:fill="F8FAFC"/>
            <w:tcMar>
              <w:top w:w="100" w:type="dxa"/>
              <w:bottom w:w="100" w:type="dxa"/>
              <w:left w:w="160" w:type="dxa"/>
              <w:right w:w="160" w:type="dxa"/>
            </w:tcMar>
          </w:tcPr>
          <w:p>
            <w:pPr>
              <w:jc w:val="center"/>
            </w:pPr>
            <w:r>
              <w:rPr>
                <w:rFonts w:ascii="Calibri" w:hAnsi="Calibri"/>
                <w:color w:val="1E293B"/>
                <w:sz w:val="19"/>
              </w:rPr>
              <w:t>High</w:t>
            </w:r>
          </w:p>
        </w:tc>
        <w:tc>
          <w:tcPr>
            <w:tcW w:type="dxa" w:w="1296"/>
            <w:shd w:fill="F8FAFC"/>
            <w:tcMar>
              <w:top w:w="100" w:type="dxa"/>
              <w:bottom w:w="100" w:type="dxa"/>
              <w:left w:w="160" w:type="dxa"/>
              <w:right w:w="160" w:type="dxa"/>
            </w:tcMar>
          </w:tcPr>
          <w:p>
            <w:pPr>
              <w:jc w:val="left"/>
            </w:pPr>
            <w:r>
              <w:rPr>
                <w:rFonts w:ascii="Calibri" w:hAnsi="Calibri"/>
                <w:color w:val="1E293B"/>
                <w:sz w:val="19"/>
              </w:rPr>
              <w:t>Owner / Editor role</w:t>
            </w:r>
          </w:p>
        </w:tc>
        <w:tc>
          <w:tcPr>
            <w:tcW w:type="dxa" w:w="1008"/>
            <w:shd w:fill="F8FAFC"/>
            <w:tcMar>
              <w:top w:w="100" w:type="dxa"/>
              <w:bottom w:w="100" w:type="dxa"/>
              <w:left w:w="160" w:type="dxa"/>
              <w:right w:w="160" w:type="dxa"/>
            </w:tcMar>
          </w:tcPr>
          <w:p>
            <w:pPr>
              <w:jc w:val="left"/>
            </w:pPr>
            <w:r>
              <w:rPr>
                <w:rFonts w:ascii="Calibri" w:hAnsi="Calibri"/>
                <w:color w:val="1E293B"/>
                <w:sz w:val="19"/>
              </w:rPr>
              <w:t>API &amp; UI Test</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FR-07</w:t>
            </w:r>
          </w:p>
        </w:tc>
        <w:tc>
          <w:tcPr>
            <w:tcW w:type="dxa" w:w="1728"/>
            <w:shd w:fill="FFFFFF"/>
            <w:tcMar>
              <w:top w:w="100" w:type="dxa"/>
              <w:bottom w:w="100" w:type="dxa"/>
              <w:left w:w="160" w:type="dxa"/>
              <w:right w:w="160" w:type="dxa"/>
            </w:tcMar>
          </w:tcPr>
          <w:p>
            <w:pPr>
              <w:jc w:val="left"/>
            </w:pPr>
            <w:r>
              <w:rPr>
                <w:rFonts w:ascii="Calibri" w:hAnsi="Calibri"/>
                <w:color w:val="1E293B"/>
                <w:sz w:val="19"/>
              </w:rPr>
              <w:t>Time-Indexed Itinerary Task Scheduling</w:t>
            </w:r>
          </w:p>
        </w:tc>
        <w:tc>
          <w:tcPr>
            <w:tcW w:type="dxa" w:w="3600"/>
            <w:shd w:fill="FFFFFF"/>
            <w:tcMar>
              <w:top w:w="100" w:type="dxa"/>
              <w:bottom w:w="100" w:type="dxa"/>
              <w:left w:w="160" w:type="dxa"/>
              <w:right w:w="160" w:type="dxa"/>
            </w:tcMar>
          </w:tcPr>
          <w:p>
            <w:pPr>
              <w:jc w:val="left"/>
            </w:pPr>
            <w:r>
              <w:rPr>
                <w:rFonts w:ascii="Calibri" w:hAnsi="Calibri"/>
                <w:color w:val="1E293B"/>
                <w:sz w:val="19"/>
              </w:rPr>
              <w:t>The system shall permit Owners and Editors to create daily scheduled activities linked to specific dates, times, locations, estimated budgets, and assigned collaborator responsibilities.</w:t>
            </w:r>
          </w:p>
        </w:tc>
        <w:tc>
          <w:tcPr>
            <w:tcW w:type="dxa" w:w="720"/>
            <w:shd w:fill="FFFFFF"/>
            <w:tcMar>
              <w:top w:w="100" w:type="dxa"/>
              <w:bottom w:w="100" w:type="dxa"/>
              <w:left w:w="160" w:type="dxa"/>
              <w:right w:w="160" w:type="dxa"/>
            </w:tcMar>
          </w:tcPr>
          <w:p>
            <w:pPr>
              <w:jc w:val="center"/>
            </w:pPr>
            <w:r>
              <w:rPr>
                <w:rFonts w:ascii="Calibri" w:hAnsi="Calibri"/>
                <w:color w:val="1E293B"/>
                <w:sz w:val="19"/>
              </w:rPr>
              <w:t>High</w:t>
            </w:r>
          </w:p>
        </w:tc>
        <w:tc>
          <w:tcPr>
            <w:tcW w:type="dxa" w:w="1296"/>
            <w:shd w:fill="FFFFFF"/>
            <w:tcMar>
              <w:top w:w="100" w:type="dxa"/>
              <w:bottom w:w="100" w:type="dxa"/>
              <w:left w:w="160" w:type="dxa"/>
              <w:right w:w="160" w:type="dxa"/>
            </w:tcMar>
          </w:tcPr>
          <w:p>
            <w:pPr>
              <w:jc w:val="left"/>
            </w:pPr>
            <w:r>
              <w:rPr>
                <w:rFonts w:ascii="Calibri" w:hAnsi="Calibri"/>
                <w:color w:val="1E293B"/>
                <w:sz w:val="19"/>
              </w:rPr>
              <w:t>Owner / Editor role</w:t>
            </w:r>
          </w:p>
        </w:tc>
        <w:tc>
          <w:tcPr>
            <w:tcW w:type="dxa" w:w="1008"/>
            <w:shd w:fill="FFFFFF"/>
            <w:tcMar>
              <w:top w:w="100" w:type="dxa"/>
              <w:bottom w:w="100" w:type="dxa"/>
              <w:left w:w="160" w:type="dxa"/>
              <w:right w:w="160" w:type="dxa"/>
            </w:tcMar>
          </w:tcPr>
          <w:p>
            <w:pPr>
              <w:jc w:val="left"/>
            </w:pPr>
            <w:r>
              <w:rPr>
                <w:rFonts w:ascii="Calibri" w:hAnsi="Calibri"/>
                <w:color w:val="1E293B"/>
                <w:sz w:val="19"/>
              </w:rPr>
              <w:t>Unit &amp; Integration Test</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FR-08</w:t>
            </w:r>
          </w:p>
        </w:tc>
        <w:tc>
          <w:tcPr>
            <w:tcW w:type="dxa" w:w="1728"/>
            <w:shd w:fill="F8FAFC"/>
            <w:tcMar>
              <w:top w:w="100" w:type="dxa"/>
              <w:bottom w:w="100" w:type="dxa"/>
              <w:left w:w="160" w:type="dxa"/>
              <w:right w:w="160" w:type="dxa"/>
            </w:tcMar>
          </w:tcPr>
          <w:p>
            <w:pPr>
              <w:jc w:val="left"/>
            </w:pPr>
            <w:r>
              <w:rPr>
                <w:rFonts w:ascii="Calibri" w:hAnsi="Calibri"/>
                <w:color w:val="1E293B"/>
                <w:sz w:val="19"/>
              </w:rPr>
              <w:t>Activity Completion Status Tracking</w:t>
            </w:r>
          </w:p>
        </w:tc>
        <w:tc>
          <w:tcPr>
            <w:tcW w:type="dxa" w:w="3600"/>
            <w:shd w:fill="F8FAFC"/>
            <w:tcMar>
              <w:top w:w="100" w:type="dxa"/>
              <w:bottom w:w="100" w:type="dxa"/>
              <w:left w:w="160" w:type="dxa"/>
              <w:right w:w="160" w:type="dxa"/>
            </w:tcMar>
          </w:tcPr>
          <w:p>
            <w:pPr>
              <w:jc w:val="left"/>
            </w:pPr>
            <w:r>
              <w:rPr>
                <w:rFonts w:ascii="Calibri" w:hAnsi="Calibri"/>
                <w:color w:val="1E293B"/>
                <w:sz w:val="19"/>
              </w:rPr>
              <w:t>The system shall enable Owners and Editors to toggle the completion milestone of scheduled activities, dynamically updating the trip's overall progress metric.</w:t>
            </w:r>
          </w:p>
        </w:tc>
        <w:tc>
          <w:tcPr>
            <w:tcW w:type="dxa" w:w="720"/>
            <w:shd w:fill="F8FAFC"/>
            <w:tcMar>
              <w:top w:w="100" w:type="dxa"/>
              <w:bottom w:w="100" w:type="dxa"/>
              <w:left w:w="160" w:type="dxa"/>
              <w:right w:w="160" w:type="dxa"/>
            </w:tcMar>
          </w:tcPr>
          <w:p>
            <w:pPr>
              <w:jc w:val="center"/>
            </w:pPr>
            <w:r>
              <w:rPr>
                <w:rFonts w:ascii="Calibri" w:hAnsi="Calibri"/>
                <w:color w:val="1E293B"/>
                <w:sz w:val="19"/>
              </w:rPr>
              <w:t>Medium</w:t>
            </w:r>
          </w:p>
        </w:tc>
        <w:tc>
          <w:tcPr>
            <w:tcW w:type="dxa" w:w="1296"/>
            <w:shd w:fill="F8FAFC"/>
            <w:tcMar>
              <w:top w:w="100" w:type="dxa"/>
              <w:bottom w:w="100" w:type="dxa"/>
              <w:left w:w="160" w:type="dxa"/>
              <w:right w:w="160" w:type="dxa"/>
            </w:tcMar>
          </w:tcPr>
          <w:p>
            <w:pPr>
              <w:jc w:val="left"/>
            </w:pPr>
            <w:r>
              <w:rPr>
                <w:rFonts w:ascii="Calibri" w:hAnsi="Calibri"/>
                <w:color w:val="1E293B"/>
                <w:sz w:val="19"/>
              </w:rPr>
              <w:t>Scheduled activity exists</w:t>
            </w:r>
          </w:p>
        </w:tc>
        <w:tc>
          <w:tcPr>
            <w:tcW w:type="dxa" w:w="1008"/>
            <w:shd w:fill="F8FAFC"/>
            <w:tcMar>
              <w:top w:w="100" w:type="dxa"/>
              <w:bottom w:w="100" w:type="dxa"/>
              <w:left w:w="160" w:type="dxa"/>
              <w:right w:w="160" w:type="dxa"/>
            </w:tcMar>
          </w:tcPr>
          <w:p>
            <w:pPr>
              <w:jc w:val="left"/>
            </w:pPr>
            <w:r>
              <w:rPr>
                <w:rFonts w:ascii="Calibri" w:hAnsi="Calibri"/>
                <w:color w:val="1E293B"/>
                <w:sz w:val="19"/>
              </w:rPr>
              <w:t>Interactive UI Test</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FR-09</w:t>
            </w:r>
          </w:p>
        </w:tc>
        <w:tc>
          <w:tcPr>
            <w:tcW w:type="dxa" w:w="1728"/>
            <w:shd w:fill="FFFFFF"/>
            <w:tcMar>
              <w:top w:w="100" w:type="dxa"/>
              <w:bottom w:w="100" w:type="dxa"/>
              <w:left w:w="160" w:type="dxa"/>
              <w:right w:w="160" w:type="dxa"/>
            </w:tcMar>
          </w:tcPr>
          <w:p>
            <w:pPr>
              <w:jc w:val="left"/>
            </w:pPr>
            <w:r>
              <w:rPr>
                <w:rFonts w:ascii="Calibri" w:hAnsi="Calibri"/>
                <w:color w:val="1E293B"/>
                <w:sz w:val="19"/>
              </w:rPr>
              <w:t>Multi-Currency Expense Recording &amp; Splitting</w:t>
            </w:r>
          </w:p>
        </w:tc>
        <w:tc>
          <w:tcPr>
            <w:tcW w:type="dxa" w:w="3600"/>
            <w:shd w:fill="FFFFFF"/>
            <w:tcMar>
              <w:top w:w="100" w:type="dxa"/>
              <w:bottom w:w="100" w:type="dxa"/>
              <w:left w:w="160" w:type="dxa"/>
              <w:right w:w="160" w:type="dxa"/>
            </w:tcMar>
          </w:tcPr>
          <w:p>
            <w:pPr>
              <w:jc w:val="left"/>
            </w:pPr>
            <w:r>
              <w:rPr>
                <w:rFonts w:ascii="Calibri" w:hAnsi="Calibri"/>
                <w:color w:val="1E293B"/>
                <w:sz w:val="19"/>
              </w:rPr>
              <w:t>The system shall allow Owners and Editors to log expenses specifying category, amount, currency, payer, and multi-member split distribution. The system shall verify zero-sum financial allocation.</w:t>
            </w:r>
          </w:p>
        </w:tc>
        <w:tc>
          <w:tcPr>
            <w:tcW w:type="dxa" w:w="720"/>
            <w:shd w:fill="FFFFFF"/>
            <w:tcMar>
              <w:top w:w="100" w:type="dxa"/>
              <w:bottom w:w="100" w:type="dxa"/>
              <w:left w:w="160" w:type="dxa"/>
              <w:right w:w="160" w:type="dxa"/>
            </w:tcMar>
          </w:tcPr>
          <w:p>
            <w:pPr>
              <w:jc w:val="center"/>
            </w:pPr>
            <w:r>
              <w:rPr>
                <w:rFonts w:ascii="Calibri" w:hAnsi="Calibri"/>
                <w:color w:val="1E293B"/>
                <w:sz w:val="19"/>
              </w:rPr>
              <w:t>High</w:t>
            </w:r>
          </w:p>
        </w:tc>
        <w:tc>
          <w:tcPr>
            <w:tcW w:type="dxa" w:w="1296"/>
            <w:shd w:fill="FFFFFF"/>
            <w:tcMar>
              <w:top w:w="100" w:type="dxa"/>
              <w:bottom w:w="100" w:type="dxa"/>
              <w:left w:w="160" w:type="dxa"/>
              <w:right w:w="160" w:type="dxa"/>
            </w:tcMar>
          </w:tcPr>
          <w:p>
            <w:pPr>
              <w:jc w:val="left"/>
            </w:pPr>
            <w:r>
              <w:rPr>
                <w:rFonts w:ascii="Calibri" w:hAnsi="Calibri"/>
                <w:color w:val="1E293B"/>
                <w:sz w:val="19"/>
              </w:rPr>
              <w:t>Owner / Editor role</w:t>
            </w:r>
          </w:p>
        </w:tc>
        <w:tc>
          <w:tcPr>
            <w:tcW w:type="dxa" w:w="1008"/>
            <w:shd w:fill="FFFFFF"/>
            <w:tcMar>
              <w:top w:w="100" w:type="dxa"/>
              <w:bottom w:w="100" w:type="dxa"/>
              <w:left w:w="160" w:type="dxa"/>
              <w:right w:w="160" w:type="dxa"/>
            </w:tcMar>
          </w:tcPr>
          <w:p>
            <w:pPr>
              <w:jc w:val="left"/>
            </w:pPr>
            <w:r>
              <w:rPr>
                <w:rFonts w:ascii="Calibri" w:hAnsi="Calibri"/>
                <w:color w:val="1E293B"/>
                <w:sz w:val="19"/>
              </w:rPr>
              <w:t>Financial Test Suite</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FR-10</w:t>
            </w:r>
          </w:p>
        </w:tc>
        <w:tc>
          <w:tcPr>
            <w:tcW w:type="dxa" w:w="1728"/>
            <w:shd w:fill="F8FAFC"/>
            <w:tcMar>
              <w:top w:w="100" w:type="dxa"/>
              <w:bottom w:w="100" w:type="dxa"/>
              <w:left w:w="160" w:type="dxa"/>
              <w:right w:w="160" w:type="dxa"/>
            </w:tcMar>
          </w:tcPr>
          <w:p>
            <w:pPr>
              <w:jc w:val="left"/>
            </w:pPr>
            <w:r>
              <w:rPr>
                <w:rFonts w:ascii="Calibri" w:hAnsi="Calibri"/>
                <w:color w:val="1E293B"/>
                <w:sz w:val="19"/>
              </w:rPr>
              <w:t>Automated Debt Settlement Optimization</w:t>
            </w:r>
          </w:p>
        </w:tc>
        <w:tc>
          <w:tcPr>
            <w:tcW w:type="dxa" w:w="3600"/>
            <w:shd w:fill="F8FAFC"/>
            <w:tcMar>
              <w:top w:w="100" w:type="dxa"/>
              <w:bottom w:w="100" w:type="dxa"/>
              <w:left w:w="160" w:type="dxa"/>
              <w:right w:w="160" w:type="dxa"/>
            </w:tcMar>
          </w:tcPr>
          <w:p>
            <w:pPr>
              <w:jc w:val="left"/>
            </w:pPr>
            <w:r>
              <w:rPr>
                <w:rFonts w:ascii="Calibri" w:hAnsi="Calibri"/>
                <w:color w:val="1E293B"/>
                <w:sz w:val="19"/>
              </w:rPr>
              <w:t>The system shall execute a greedy minimum-cash-flow algorithm calculating net member balances and deriving the minimum number of debt transfer transactions ('Who Owes Whom').</w:t>
            </w:r>
          </w:p>
        </w:tc>
        <w:tc>
          <w:tcPr>
            <w:tcW w:type="dxa" w:w="720"/>
            <w:shd w:fill="F8FAFC"/>
            <w:tcMar>
              <w:top w:w="100" w:type="dxa"/>
              <w:bottom w:w="100" w:type="dxa"/>
              <w:left w:w="160" w:type="dxa"/>
              <w:right w:w="160" w:type="dxa"/>
            </w:tcMar>
          </w:tcPr>
          <w:p>
            <w:pPr>
              <w:jc w:val="center"/>
            </w:pPr>
            <w:r>
              <w:rPr>
                <w:rFonts w:ascii="Calibri" w:hAnsi="Calibri"/>
                <w:color w:val="1E293B"/>
                <w:sz w:val="19"/>
              </w:rPr>
              <w:t>High</w:t>
            </w:r>
          </w:p>
        </w:tc>
        <w:tc>
          <w:tcPr>
            <w:tcW w:type="dxa" w:w="1296"/>
            <w:shd w:fill="F8FAFC"/>
            <w:tcMar>
              <w:top w:w="100" w:type="dxa"/>
              <w:bottom w:w="100" w:type="dxa"/>
              <w:left w:w="160" w:type="dxa"/>
              <w:right w:w="160" w:type="dxa"/>
            </w:tcMar>
          </w:tcPr>
          <w:p>
            <w:pPr>
              <w:jc w:val="left"/>
            </w:pPr>
            <w:r>
              <w:rPr>
                <w:rFonts w:ascii="Calibri" w:hAnsi="Calibri"/>
                <w:color w:val="1E293B"/>
                <w:sz w:val="19"/>
              </w:rPr>
              <w:t>Recorded trip expenses</w:t>
            </w:r>
          </w:p>
        </w:tc>
        <w:tc>
          <w:tcPr>
            <w:tcW w:type="dxa" w:w="1008"/>
            <w:shd w:fill="F8FAFC"/>
            <w:tcMar>
              <w:top w:w="100" w:type="dxa"/>
              <w:bottom w:w="100" w:type="dxa"/>
              <w:left w:w="160" w:type="dxa"/>
              <w:right w:w="160" w:type="dxa"/>
            </w:tcMar>
          </w:tcPr>
          <w:p>
            <w:pPr>
              <w:jc w:val="left"/>
            </w:pPr>
            <w:r>
              <w:rPr>
                <w:rFonts w:ascii="Calibri" w:hAnsi="Calibri"/>
                <w:color w:val="1E293B"/>
                <w:sz w:val="19"/>
              </w:rPr>
              <w:t>Algorithmic Unit Test</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FR-11</w:t>
            </w:r>
          </w:p>
        </w:tc>
        <w:tc>
          <w:tcPr>
            <w:tcW w:type="dxa" w:w="1728"/>
            <w:shd w:fill="FFFFFF"/>
            <w:tcMar>
              <w:top w:w="100" w:type="dxa"/>
              <w:bottom w:w="100" w:type="dxa"/>
              <w:left w:w="160" w:type="dxa"/>
              <w:right w:w="160" w:type="dxa"/>
            </w:tcMar>
          </w:tcPr>
          <w:p>
            <w:pPr>
              <w:jc w:val="left"/>
            </w:pPr>
            <w:r>
              <w:rPr>
                <w:rFonts w:ascii="Calibri" w:hAnsi="Calibri"/>
                <w:color w:val="1E293B"/>
                <w:sz w:val="19"/>
              </w:rPr>
              <w:t>Data Privacy &amp; Multi-Tenant Resource Isolation</w:t>
            </w:r>
          </w:p>
        </w:tc>
        <w:tc>
          <w:tcPr>
            <w:tcW w:type="dxa" w:w="3600"/>
            <w:shd w:fill="FFFFFF"/>
            <w:tcMar>
              <w:top w:w="100" w:type="dxa"/>
              <w:bottom w:w="100" w:type="dxa"/>
              <w:left w:w="160" w:type="dxa"/>
              <w:right w:w="160" w:type="dxa"/>
            </w:tcMar>
          </w:tcPr>
          <w:p>
            <w:pPr>
              <w:jc w:val="left"/>
            </w:pPr>
            <w:r>
              <w:rPr>
                <w:rFonts w:ascii="Calibri" w:hAnsi="Calibri"/>
                <w:color w:val="1E293B"/>
                <w:sz w:val="19"/>
              </w:rPr>
              <w:t>The system shall isolate private trip resources such that non-collaborators cannot view, query, or infer metadata about trips to which they have not been explicitly invited.</w:t>
            </w:r>
          </w:p>
        </w:tc>
        <w:tc>
          <w:tcPr>
            <w:tcW w:type="dxa" w:w="720"/>
            <w:shd w:fill="FFFFFF"/>
            <w:tcMar>
              <w:top w:w="100" w:type="dxa"/>
              <w:bottom w:w="100" w:type="dxa"/>
              <w:left w:w="160" w:type="dxa"/>
              <w:right w:w="160" w:type="dxa"/>
            </w:tcMar>
          </w:tcPr>
          <w:p>
            <w:pPr>
              <w:jc w:val="center"/>
            </w:pPr>
            <w:r>
              <w:rPr>
                <w:rFonts w:ascii="Calibri" w:hAnsi="Calibri"/>
                <w:color w:val="1E293B"/>
                <w:sz w:val="19"/>
              </w:rPr>
              <w:t>High</w:t>
            </w:r>
          </w:p>
        </w:tc>
        <w:tc>
          <w:tcPr>
            <w:tcW w:type="dxa" w:w="1296"/>
            <w:shd w:fill="FFFFFF"/>
            <w:tcMar>
              <w:top w:w="100" w:type="dxa"/>
              <w:bottom w:w="100" w:type="dxa"/>
              <w:left w:w="160" w:type="dxa"/>
              <w:right w:w="160" w:type="dxa"/>
            </w:tcMar>
          </w:tcPr>
          <w:p>
            <w:pPr>
              <w:jc w:val="left"/>
            </w:pPr>
            <w:r>
              <w:rPr>
                <w:rFonts w:ascii="Calibri" w:hAnsi="Calibri"/>
                <w:color w:val="1E293B"/>
                <w:sz w:val="19"/>
              </w:rPr>
              <w:t>Cross-tenant query</w:t>
            </w:r>
          </w:p>
        </w:tc>
        <w:tc>
          <w:tcPr>
            <w:tcW w:type="dxa" w:w="1008"/>
            <w:shd w:fill="FFFFFF"/>
            <w:tcMar>
              <w:top w:w="100" w:type="dxa"/>
              <w:bottom w:w="100" w:type="dxa"/>
              <w:left w:w="160" w:type="dxa"/>
              <w:right w:w="160" w:type="dxa"/>
            </w:tcMar>
          </w:tcPr>
          <w:p>
            <w:pPr>
              <w:jc w:val="left"/>
            </w:pPr>
            <w:r>
              <w:rPr>
                <w:rFonts w:ascii="Calibri" w:hAnsi="Calibri"/>
                <w:color w:val="1E293B"/>
                <w:sz w:val="19"/>
              </w:rPr>
              <w:t>BOLA Security Probe</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FR-12</w:t>
            </w:r>
          </w:p>
        </w:tc>
        <w:tc>
          <w:tcPr>
            <w:tcW w:type="dxa" w:w="1728"/>
            <w:shd w:fill="F8FAFC"/>
            <w:tcMar>
              <w:top w:w="100" w:type="dxa"/>
              <w:bottom w:w="100" w:type="dxa"/>
              <w:left w:w="160" w:type="dxa"/>
              <w:right w:w="160" w:type="dxa"/>
            </w:tcMar>
          </w:tcPr>
          <w:p>
            <w:pPr>
              <w:jc w:val="left"/>
            </w:pPr>
            <w:r>
              <w:rPr>
                <w:rFonts w:ascii="Calibri" w:hAnsi="Calibri"/>
                <w:color w:val="1E293B"/>
                <w:sz w:val="19"/>
              </w:rPr>
              <w:t>Tamper-Evident Security Audit Logging</w:t>
            </w:r>
          </w:p>
        </w:tc>
        <w:tc>
          <w:tcPr>
            <w:tcW w:type="dxa" w:w="3600"/>
            <w:shd w:fill="F8FAFC"/>
            <w:tcMar>
              <w:top w:w="100" w:type="dxa"/>
              <w:bottom w:w="100" w:type="dxa"/>
              <w:left w:w="160" w:type="dxa"/>
              <w:right w:w="160" w:type="dxa"/>
            </w:tcMar>
          </w:tcPr>
          <w:p>
            <w:pPr>
              <w:jc w:val="left"/>
            </w:pPr>
            <w:r>
              <w:rPr>
                <w:rFonts w:ascii="Calibri" w:hAnsi="Calibri"/>
                <w:color w:val="1E293B"/>
                <w:sz w:val="19"/>
              </w:rPr>
              <w:t>The system shall record an immutable, time-stamped audit entry for all security-sensitive operations (authentication attempts, collaborator invitations, role mutations, resource deletions).</w:t>
            </w:r>
          </w:p>
        </w:tc>
        <w:tc>
          <w:tcPr>
            <w:tcW w:type="dxa" w:w="720"/>
            <w:shd w:fill="F8FAFC"/>
            <w:tcMar>
              <w:top w:w="100" w:type="dxa"/>
              <w:bottom w:w="100" w:type="dxa"/>
              <w:left w:w="160" w:type="dxa"/>
              <w:right w:w="160" w:type="dxa"/>
            </w:tcMar>
          </w:tcPr>
          <w:p>
            <w:pPr>
              <w:jc w:val="center"/>
            </w:pPr>
            <w:r>
              <w:rPr>
                <w:rFonts w:ascii="Calibri" w:hAnsi="Calibri"/>
                <w:color w:val="1E293B"/>
                <w:sz w:val="19"/>
              </w:rPr>
              <w:t>High</w:t>
            </w:r>
          </w:p>
        </w:tc>
        <w:tc>
          <w:tcPr>
            <w:tcW w:type="dxa" w:w="1296"/>
            <w:shd w:fill="F8FAFC"/>
            <w:tcMar>
              <w:top w:w="100" w:type="dxa"/>
              <w:bottom w:w="100" w:type="dxa"/>
              <w:left w:w="160" w:type="dxa"/>
              <w:right w:w="160" w:type="dxa"/>
            </w:tcMar>
          </w:tcPr>
          <w:p>
            <w:pPr>
              <w:jc w:val="left"/>
            </w:pPr>
            <w:r>
              <w:rPr>
                <w:rFonts w:ascii="Calibri" w:hAnsi="Calibri"/>
                <w:color w:val="1E293B"/>
                <w:sz w:val="19"/>
              </w:rPr>
              <w:t>System state change</w:t>
            </w:r>
          </w:p>
        </w:tc>
        <w:tc>
          <w:tcPr>
            <w:tcW w:type="dxa" w:w="1008"/>
            <w:shd w:fill="F8FAFC"/>
            <w:tcMar>
              <w:top w:w="100" w:type="dxa"/>
              <w:bottom w:w="100" w:type="dxa"/>
              <w:left w:w="160" w:type="dxa"/>
              <w:right w:w="160" w:type="dxa"/>
            </w:tcMar>
          </w:tcPr>
          <w:p>
            <w:pPr>
              <w:jc w:val="left"/>
            </w:pPr>
            <w:r>
              <w:rPr>
                <w:rFonts w:ascii="Calibri" w:hAnsi="Calibri"/>
                <w:color w:val="1E293B"/>
                <w:sz w:val="19"/>
              </w:rPr>
              <w:t>Audit Verification Suite</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FR-13</w:t>
            </w:r>
          </w:p>
        </w:tc>
        <w:tc>
          <w:tcPr>
            <w:tcW w:type="dxa" w:w="1728"/>
            <w:shd w:fill="FFFFFF"/>
            <w:tcMar>
              <w:top w:w="100" w:type="dxa"/>
              <w:bottom w:w="100" w:type="dxa"/>
              <w:left w:w="160" w:type="dxa"/>
              <w:right w:w="160" w:type="dxa"/>
            </w:tcMar>
          </w:tcPr>
          <w:p>
            <w:pPr>
              <w:jc w:val="left"/>
            </w:pPr>
            <w:r>
              <w:rPr>
                <w:rFonts w:ascii="Calibri" w:hAnsi="Calibri"/>
                <w:color w:val="1E293B"/>
                <w:sz w:val="19"/>
              </w:rPr>
              <w:t>Sliding-Window Rate Limiting &amp; DoS Defense</w:t>
            </w:r>
          </w:p>
        </w:tc>
        <w:tc>
          <w:tcPr>
            <w:tcW w:type="dxa" w:w="3600"/>
            <w:shd w:fill="FFFFFF"/>
            <w:tcMar>
              <w:top w:w="100" w:type="dxa"/>
              <w:bottom w:w="100" w:type="dxa"/>
              <w:left w:w="160" w:type="dxa"/>
              <w:right w:w="160" w:type="dxa"/>
            </w:tcMar>
          </w:tcPr>
          <w:p>
            <w:pPr>
              <w:jc w:val="left"/>
            </w:pPr>
            <w:r>
              <w:rPr>
                <w:rFonts w:ascii="Calibri" w:hAnsi="Calibri"/>
                <w:color w:val="1E293B"/>
                <w:sz w:val="19"/>
              </w:rPr>
              <w:t>The system shall enforce IP-based rate limiting on sensitive authentication and API endpoints (maximum 100 requests per 15-minute window), returning HTTP 429 upon threshold breach.</w:t>
            </w:r>
          </w:p>
        </w:tc>
        <w:tc>
          <w:tcPr>
            <w:tcW w:type="dxa" w:w="720"/>
            <w:shd w:fill="FFFFFF"/>
            <w:tcMar>
              <w:top w:w="100" w:type="dxa"/>
              <w:bottom w:w="100" w:type="dxa"/>
              <w:left w:w="160" w:type="dxa"/>
              <w:right w:w="160" w:type="dxa"/>
            </w:tcMar>
          </w:tcPr>
          <w:p>
            <w:pPr>
              <w:jc w:val="center"/>
            </w:pPr>
            <w:r>
              <w:rPr>
                <w:rFonts w:ascii="Calibri" w:hAnsi="Calibri"/>
                <w:color w:val="1E293B"/>
                <w:sz w:val="19"/>
              </w:rPr>
              <w:t>High</w:t>
            </w:r>
          </w:p>
        </w:tc>
        <w:tc>
          <w:tcPr>
            <w:tcW w:type="dxa" w:w="1296"/>
            <w:shd w:fill="FFFFFF"/>
            <w:tcMar>
              <w:top w:w="100" w:type="dxa"/>
              <w:bottom w:w="100" w:type="dxa"/>
              <w:left w:w="160" w:type="dxa"/>
              <w:right w:w="160" w:type="dxa"/>
            </w:tcMar>
          </w:tcPr>
          <w:p>
            <w:pPr>
              <w:jc w:val="left"/>
            </w:pPr>
            <w:r>
              <w:rPr>
                <w:rFonts w:ascii="Calibri" w:hAnsi="Calibri"/>
                <w:color w:val="1E293B"/>
                <w:sz w:val="19"/>
              </w:rPr>
              <w:t>Incoming HTTP request</w:t>
            </w:r>
          </w:p>
        </w:tc>
        <w:tc>
          <w:tcPr>
            <w:tcW w:type="dxa" w:w="1008"/>
            <w:shd w:fill="FFFFFF"/>
            <w:tcMar>
              <w:top w:w="100" w:type="dxa"/>
              <w:bottom w:w="100" w:type="dxa"/>
              <w:left w:w="160" w:type="dxa"/>
              <w:right w:w="160" w:type="dxa"/>
            </w:tcMar>
          </w:tcPr>
          <w:p>
            <w:pPr>
              <w:jc w:val="left"/>
            </w:pPr>
            <w:r>
              <w:rPr>
                <w:rFonts w:ascii="Calibri" w:hAnsi="Calibri"/>
                <w:color w:val="1E293B"/>
                <w:sz w:val="19"/>
              </w:rPr>
              <w:t>Boundary Fuzzing Test</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FR-14</w:t>
            </w:r>
          </w:p>
        </w:tc>
        <w:tc>
          <w:tcPr>
            <w:tcW w:type="dxa" w:w="1728"/>
            <w:shd w:fill="F8FAFC"/>
            <w:tcMar>
              <w:top w:w="100" w:type="dxa"/>
              <w:bottom w:w="100" w:type="dxa"/>
              <w:left w:w="160" w:type="dxa"/>
              <w:right w:w="160" w:type="dxa"/>
            </w:tcMar>
          </w:tcPr>
          <w:p>
            <w:pPr>
              <w:jc w:val="left"/>
            </w:pPr>
            <w:r>
              <w:rPr>
                <w:rFonts w:ascii="Calibri" w:hAnsi="Calibri"/>
                <w:color w:val="1E293B"/>
                <w:sz w:val="19"/>
              </w:rPr>
              <w:t>In-Transit &amp; At-Rest Cryptographic Protection</w:t>
            </w:r>
          </w:p>
        </w:tc>
        <w:tc>
          <w:tcPr>
            <w:tcW w:type="dxa" w:w="3600"/>
            <w:shd w:fill="F8FAFC"/>
            <w:tcMar>
              <w:top w:w="100" w:type="dxa"/>
              <w:bottom w:w="100" w:type="dxa"/>
              <w:left w:w="160" w:type="dxa"/>
              <w:right w:w="160" w:type="dxa"/>
            </w:tcMar>
          </w:tcPr>
          <w:p>
            <w:pPr>
              <w:jc w:val="left"/>
            </w:pPr>
            <w:r>
              <w:rPr>
                <w:rFonts w:ascii="Calibri" w:hAnsi="Calibri"/>
                <w:color w:val="1E293B"/>
                <w:sz w:val="19"/>
              </w:rPr>
              <w:t>The system shall enforce TLS 1.3 encryption for all client-server communications and secure sensitive stored entities (hashed credentials, secrets) using industry-standard cryptography.</w:t>
            </w:r>
          </w:p>
        </w:tc>
        <w:tc>
          <w:tcPr>
            <w:tcW w:type="dxa" w:w="720"/>
            <w:shd w:fill="F8FAFC"/>
            <w:tcMar>
              <w:top w:w="100" w:type="dxa"/>
              <w:bottom w:w="100" w:type="dxa"/>
              <w:left w:w="160" w:type="dxa"/>
              <w:right w:w="160" w:type="dxa"/>
            </w:tcMar>
          </w:tcPr>
          <w:p>
            <w:pPr>
              <w:jc w:val="center"/>
            </w:pPr>
            <w:r>
              <w:rPr>
                <w:rFonts w:ascii="Calibri" w:hAnsi="Calibri"/>
                <w:color w:val="1E293B"/>
                <w:sz w:val="19"/>
              </w:rPr>
              <w:t>High</w:t>
            </w:r>
          </w:p>
        </w:tc>
        <w:tc>
          <w:tcPr>
            <w:tcW w:type="dxa" w:w="1296"/>
            <w:shd w:fill="F8FAFC"/>
            <w:tcMar>
              <w:top w:w="100" w:type="dxa"/>
              <w:bottom w:w="100" w:type="dxa"/>
              <w:left w:w="160" w:type="dxa"/>
              <w:right w:w="160" w:type="dxa"/>
            </w:tcMar>
          </w:tcPr>
          <w:p>
            <w:pPr>
              <w:jc w:val="left"/>
            </w:pPr>
            <w:r>
              <w:rPr>
                <w:rFonts w:ascii="Calibri" w:hAnsi="Calibri"/>
                <w:color w:val="1E293B"/>
                <w:sz w:val="19"/>
              </w:rPr>
              <w:t>Data transmission/storage</w:t>
            </w:r>
          </w:p>
        </w:tc>
        <w:tc>
          <w:tcPr>
            <w:tcW w:type="dxa" w:w="1008"/>
            <w:shd w:fill="F8FAFC"/>
            <w:tcMar>
              <w:top w:w="100" w:type="dxa"/>
              <w:bottom w:w="100" w:type="dxa"/>
              <w:left w:w="160" w:type="dxa"/>
              <w:right w:w="160" w:type="dxa"/>
            </w:tcMar>
          </w:tcPr>
          <w:p>
            <w:pPr>
              <w:jc w:val="left"/>
            </w:pPr>
            <w:r>
              <w:rPr>
                <w:rFonts w:ascii="Calibri" w:hAnsi="Calibri"/>
                <w:color w:val="1E293B"/>
                <w:sz w:val="19"/>
              </w:rPr>
              <w:t>Cryptographic Review</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FR-15</w:t>
            </w:r>
          </w:p>
        </w:tc>
        <w:tc>
          <w:tcPr>
            <w:tcW w:type="dxa" w:w="1728"/>
            <w:shd w:fill="FFFFFF"/>
            <w:tcMar>
              <w:top w:w="100" w:type="dxa"/>
              <w:bottom w:w="100" w:type="dxa"/>
              <w:left w:w="160" w:type="dxa"/>
              <w:right w:w="160" w:type="dxa"/>
            </w:tcMar>
          </w:tcPr>
          <w:p>
            <w:pPr>
              <w:jc w:val="left"/>
            </w:pPr>
            <w:r>
              <w:rPr>
                <w:rFonts w:ascii="Calibri" w:hAnsi="Calibri"/>
                <w:color w:val="1E293B"/>
                <w:sz w:val="19"/>
              </w:rPr>
              <w:t>Automated CI/CD DevSecOps Security Gates</w:t>
            </w:r>
          </w:p>
        </w:tc>
        <w:tc>
          <w:tcPr>
            <w:tcW w:type="dxa" w:w="3600"/>
            <w:shd w:fill="FFFFFF"/>
            <w:tcMar>
              <w:top w:w="100" w:type="dxa"/>
              <w:bottom w:w="100" w:type="dxa"/>
              <w:left w:w="160" w:type="dxa"/>
              <w:right w:w="160" w:type="dxa"/>
            </w:tcMar>
          </w:tcPr>
          <w:p>
            <w:pPr>
              <w:jc w:val="left"/>
            </w:pPr>
            <w:r>
              <w:rPr>
                <w:rFonts w:ascii="Calibri" w:hAnsi="Calibri"/>
                <w:color w:val="1E293B"/>
                <w:sz w:val="19"/>
              </w:rPr>
              <w:t>The build pipeline shall automatically execute ESLint security rules, dependency vulnerability scanning (npm audit), container vulnerability scanning (Trivy), and automated unit/integration suites.</w:t>
            </w:r>
          </w:p>
        </w:tc>
        <w:tc>
          <w:tcPr>
            <w:tcW w:type="dxa" w:w="720"/>
            <w:shd w:fill="FFFFFF"/>
            <w:tcMar>
              <w:top w:w="100" w:type="dxa"/>
              <w:bottom w:w="100" w:type="dxa"/>
              <w:left w:w="160" w:type="dxa"/>
              <w:right w:w="160" w:type="dxa"/>
            </w:tcMar>
          </w:tcPr>
          <w:p>
            <w:pPr>
              <w:jc w:val="center"/>
            </w:pPr>
            <w:r>
              <w:rPr>
                <w:rFonts w:ascii="Calibri" w:hAnsi="Calibri"/>
                <w:color w:val="1E293B"/>
                <w:sz w:val="19"/>
              </w:rPr>
              <w:t>High</w:t>
            </w:r>
          </w:p>
        </w:tc>
        <w:tc>
          <w:tcPr>
            <w:tcW w:type="dxa" w:w="1296"/>
            <w:shd w:fill="FFFFFF"/>
            <w:tcMar>
              <w:top w:w="100" w:type="dxa"/>
              <w:bottom w:w="100" w:type="dxa"/>
              <w:left w:w="160" w:type="dxa"/>
              <w:right w:w="160" w:type="dxa"/>
            </w:tcMar>
          </w:tcPr>
          <w:p>
            <w:pPr>
              <w:jc w:val="left"/>
            </w:pPr>
            <w:r>
              <w:rPr>
                <w:rFonts w:ascii="Calibri" w:hAnsi="Calibri"/>
                <w:color w:val="1E293B"/>
                <w:sz w:val="19"/>
              </w:rPr>
              <w:t>Git commit / Pull Request</w:t>
            </w:r>
          </w:p>
        </w:tc>
        <w:tc>
          <w:tcPr>
            <w:tcW w:type="dxa" w:w="1008"/>
            <w:shd w:fill="FFFFFF"/>
            <w:tcMar>
              <w:top w:w="100" w:type="dxa"/>
              <w:bottom w:w="100" w:type="dxa"/>
              <w:left w:w="160" w:type="dxa"/>
              <w:right w:w="160" w:type="dxa"/>
            </w:tcMar>
          </w:tcPr>
          <w:p>
            <w:pPr>
              <w:jc w:val="left"/>
            </w:pPr>
            <w:r>
              <w:rPr>
                <w:rFonts w:ascii="Calibri" w:hAnsi="Calibri"/>
                <w:color w:val="1E293B"/>
                <w:sz w:val="19"/>
              </w:rPr>
              <w:t>Pipeline Execution Test</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FR-16</w:t>
            </w:r>
          </w:p>
        </w:tc>
        <w:tc>
          <w:tcPr>
            <w:tcW w:type="dxa" w:w="1728"/>
            <w:shd w:fill="F8FAFC"/>
            <w:tcMar>
              <w:top w:w="100" w:type="dxa"/>
              <w:bottom w:w="100" w:type="dxa"/>
              <w:left w:w="160" w:type="dxa"/>
              <w:right w:w="160" w:type="dxa"/>
            </w:tcMar>
          </w:tcPr>
          <w:p>
            <w:pPr>
              <w:jc w:val="left"/>
            </w:pPr>
            <w:r>
              <w:rPr>
                <w:rFonts w:ascii="Calibri" w:hAnsi="Calibri"/>
                <w:color w:val="1E293B"/>
                <w:sz w:val="19"/>
              </w:rPr>
              <w:t>Administrative Security Dashboard &amp; Telemetry</w:t>
            </w:r>
          </w:p>
        </w:tc>
        <w:tc>
          <w:tcPr>
            <w:tcW w:type="dxa" w:w="3600"/>
            <w:shd w:fill="F8FAFC"/>
            <w:tcMar>
              <w:top w:w="100" w:type="dxa"/>
              <w:bottom w:w="100" w:type="dxa"/>
              <w:left w:w="160" w:type="dxa"/>
              <w:right w:w="160" w:type="dxa"/>
            </w:tcMar>
          </w:tcPr>
          <w:p>
            <w:pPr>
              <w:jc w:val="left"/>
            </w:pPr>
            <w:r>
              <w:rPr>
                <w:rFonts w:ascii="Calibri" w:hAnsi="Calibri"/>
                <w:color w:val="1E293B"/>
                <w:sz w:val="19"/>
              </w:rPr>
              <w:t>The system shall provide administrators with a centralized real-time dashboard displaying active security events, audit log entries, failed authorization attempts, and system health status.</w:t>
            </w:r>
          </w:p>
        </w:tc>
        <w:tc>
          <w:tcPr>
            <w:tcW w:type="dxa" w:w="720"/>
            <w:shd w:fill="F8FAFC"/>
            <w:tcMar>
              <w:top w:w="100" w:type="dxa"/>
              <w:bottom w:w="100" w:type="dxa"/>
              <w:left w:w="160" w:type="dxa"/>
              <w:right w:w="160" w:type="dxa"/>
            </w:tcMar>
          </w:tcPr>
          <w:p>
            <w:pPr>
              <w:jc w:val="center"/>
            </w:pPr>
            <w:r>
              <w:rPr>
                <w:rFonts w:ascii="Calibri" w:hAnsi="Calibri"/>
                <w:color w:val="1E293B"/>
                <w:sz w:val="19"/>
              </w:rPr>
              <w:t>Medium</w:t>
            </w:r>
          </w:p>
        </w:tc>
        <w:tc>
          <w:tcPr>
            <w:tcW w:type="dxa" w:w="1296"/>
            <w:shd w:fill="F8FAFC"/>
            <w:tcMar>
              <w:top w:w="100" w:type="dxa"/>
              <w:bottom w:w="100" w:type="dxa"/>
              <w:left w:w="160" w:type="dxa"/>
              <w:right w:w="160" w:type="dxa"/>
            </w:tcMar>
          </w:tcPr>
          <w:p>
            <w:pPr>
              <w:jc w:val="left"/>
            </w:pPr>
            <w:r>
              <w:rPr>
                <w:rFonts w:ascii="Calibri" w:hAnsi="Calibri"/>
                <w:color w:val="1E293B"/>
                <w:sz w:val="19"/>
              </w:rPr>
              <w:t>Admin authentication</w:t>
            </w:r>
          </w:p>
        </w:tc>
        <w:tc>
          <w:tcPr>
            <w:tcW w:type="dxa" w:w="1008"/>
            <w:shd w:fill="F8FAFC"/>
            <w:tcMar>
              <w:top w:w="100" w:type="dxa"/>
              <w:bottom w:w="100" w:type="dxa"/>
              <w:left w:w="160" w:type="dxa"/>
              <w:right w:w="160" w:type="dxa"/>
            </w:tcMar>
          </w:tcPr>
          <w:p>
            <w:pPr>
              <w:jc w:val="left"/>
            </w:pPr>
            <w:r>
              <w:rPr>
                <w:rFonts w:ascii="Calibri" w:hAnsi="Calibri"/>
                <w:color w:val="1E293B"/>
                <w:sz w:val="19"/>
              </w:rPr>
              <w:t>UI &amp; Integration Test</w:t>
            </w:r>
          </w:p>
        </w:tc>
      </w:tr>
    </w:tbl>
    <w:p>
      <w:pPr>
        <w:keepNext/>
        <w:spacing w:before="240" w:after="80"/>
      </w:pPr>
      <w:r>
        <w:rPr>
          <w:rFonts w:ascii="Calibri" w:hAnsi="Calibri"/>
          <w:b/>
          <w:color w:val="2563EB"/>
          <w:sz w:val="26"/>
        </w:rPr>
        <w:t>3.1 Requirements Traceability Matrix</w:t>
      </w:r>
    </w:p>
    <w:p>
      <w:pPr>
        <w:spacing w:before="0" w:after="80" w:line="276" w:lineRule="auto"/>
      </w:pPr>
      <w:r>
        <w:rPr>
          <w:rFonts w:ascii="Calibri" w:hAnsi="Calibri"/>
          <w:color w:val="334155"/>
          <w:sz w:val="20"/>
        </w:rPr>
        <w:t>The table below establishes bidirectional traceability linking strategic project objectives (O1–O6) to realization requirements: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3A8A"/>
            <w:tcMar>
              <w:top w:w="140" w:type="dxa"/>
              <w:bottom w:w="140" w:type="dxa"/>
              <w:left w:w="160" w:type="dxa"/>
              <w:right w:w="160" w:type="dxa"/>
            </w:tcMar>
          </w:tcPr>
          <w:p>
            <w:pPr>
              <w:jc w:val="left"/>
            </w:pPr>
            <w:r>
              <w:rPr>
                <w:rFonts w:ascii="Calibri" w:hAnsi="Calibri"/>
                <w:b/>
                <w:color w:val="FFFFFF"/>
                <w:sz w:val="20"/>
              </w:rPr>
              <w:t>Objective</w:t>
            </w:r>
          </w:p>
        </w:tc>
        <w:tc>
          <w:tcPr>
            <w:tcW w:type="dxa" w:w="4608"/>
            <w:shd w:fill="1E3A8A"/>
            <w:tcMar>
              <w:top w:w="140" w:type="dxa"/>
              <w:bottom w:w="140" w:type="dxa"/>
              <w:left w:w="160" w:type="dxa"/>
              <w:right w:w="160" w:type="dxa"/>
            </w:tcMar>
          </w:tcPr>
          <w:p>
            <w:pPr>
              <w:jc w:val="left"/>
            </w:pPr>
            <w:r>
              <w:rPr>
                <w:rFonts w:ascii="Calibri" w:hAnsi="Calibri"/>
                <w:b/>
                <w:color w:val="FFFFFF"/>
                <w:sz w:val="20"/>
              </w:rPr>
              <w:t>Strategic Goal Description</w:t>
            </w:r>
          </w:p>
        </w:tc>
        <w:tc>
          <w:tcPr>
            <w:tcW w:type="dxa" w:w="2160"/>
            <w:shd w:fill="1E3A8A"/>
            <w:tcMar>
              <w:top w:w="140" w:type="dxa"/>
              <w:bottom w:w="140" w:type="dxa"/>
              <w:left w:w="160" w:type="dxa"/>
              <w:right w:w="160" w:type="dxa"/>
            </w:tcMar>
          </w:tcPr>
          <w:p>
            <w:pPr>
              <w:jc w:val="left"/>
            </w:pPr>
            <w:r>
              <w:rPr>
                <w:rFonts w:ascii="Calibri" w:hAnsi="Calibri"/>
                <w:b/>
                <w:color w:val="FFFFFF"/>
                <w:sz w:val="20"/>
              </w:rPr>
              <w:t>Traced Functional Requirements</w:t>
            </w:r>
          </w:p>
        </w:tc>
      </w:tr>
      <w:tr>
        <w:tc>
          <w:tcPr>
            <w:tcW w:type="dxa" w:w="2592"/>
            <w:shd w:fill="FFFFFF"/>
            <w:tcMar>
              <w:top w:w="100" w:type="dxa"/>
              <w:bottom w:w="100" w:type="dxa"/>
              <w:left w:w="160" w:type="dxa"/>
              <w:right w:w="160" w:type="dxa"/>
            </w:tcMar>
          </w:tcPr>
          <w:p>
            <w:pPr>
              <w:jc w:val="left"/>
            </w:pPr>
            <w:r>
              <w:rPr>
                <w:rFonts w:ascii="Calibri" w:hAnsi="Calibri"/>
                <w:color w:val="1E293B"/>
                <w:sz w:val="19"/>
              </w:rPr>
              <w:t>O1 — Identity &amp; Authentication</w:t>
            </w:r>
          </w:p>
        </w:tc>
        <w:tc>
          <w:tcPr>
            <w:tcW w:type="dxa" w:w="4608"/>
            <w:shd w:fill="FFFFFF"/>
            <w:tcMar>
              <w:top w:w="100" w:type="dxa"/>
              <w:bottom w:w="100" w:type="dxa"/>
              <w:left w:w="160" w:type="dxa"/>
              <w:right w:w="160" w:type="dxa"/>
            </w:tcMar>
          </w:tcPr>
          <w:p>
            <w:pPr>
              <w:jc w:val="left"/>
            </w:pPr>
            <w:r>
              <w:rPr>
                <w:rFonts w:ascii="Calibri" w:hAnsi="Calibri"/>
                <w:color w:val="1E293B"/>
                <w:sz w:val="19"/>
              </w:rPr>
              <w:t>Provide secure user onboarding, credential hashing, and stateless JWT session issuance.</w:t>
            </w:r>
          </w:p>
        </w:tc>
        <w:tc>
          <w:tcPr>
            <w:tcW w:type="dxa" w:w="2160"/>
            <w:shd w:fill="FFFFFF"/>
            <w:tcMar>
              <w:top w:w="100" w:type="dxa"/>
              <w:bottom w:w="100" w:type="dxa"/>
              <w:left w:w="160" w:type="dxa"/>
              <w:right w:w="160" w:type="dxa"/>
            </w:tcMar>
          </w:tcPr>
          <w:p>
            <w:pPr>
              <w:jc w:val="left"/>
            </w:pPr>
            <w:r>
              <w:rPr>
                <w:rFonts w:ascii="Calibri" w:hAnsi="Calibri"/>
                <w:color w:val="1E293B"/>
                <w:sz w:val="19"/>
              </w:rPr>
              <w:t>FR-01, FR-02, FR-13</w:t>
            </w:r>
          </w:p>
        </w:tc>
      </w:tr>
      <w:tr>
        <w:tc>
          <w:tcPr>
            <w:tcW w:type="dxa" w:w="2592"/>
            <w:shd w:fill="F8FAFC"/>
            <w:tcMar>
              <w:top w:w="100" w:type="dxa"/>
              <w:bottom w:w="100" w:type="dxa"/>
              <w:left w:w="160" w:type="dxa"/>
              <w:right w:w="160" w:type="dxa"/>
            </w:tcMar>
          </w:tcPr>
          <w:p>
            <w:pPr>
              <w:jc w:val="left"/>
            </w:pPr>
            <w:r>
              <w:rPr>
                <w:rFonts w:ascii="Calibri" w:hAnsi="Calibri"/>
                <w:color w:val="1E293B"/>
                <w:sz w:val="19"/>
              </w:rPr>
              <w:t>O2 — Trip &amp; Privacy Management</w:t>
            </w:r>
          </w:p>
        </w:tc>
        <w:tc>
          <w:tcPr>
            <w:tcW w:type="dxa" w:w="4608"/>
            <w:shd w:fill="F8FAFC"/>
            <w:tcMar>
              <w:top w:w="100" w:type="dxa"/>
              <w:bottom w:w="100" w:type="dxa"/>
              <w:left w:w="160" w:type="dxa"/>
              <w:right w:w="160" w:type="dxa"/>
            </w:tcMar>
          </w:tcPr>
          <w:p>
            <w:pPr>
              <w:jc w:val="left"/>
            </w:pPr>
            <w:r>
              <w:rPr>
                <w:rFonts w:ascii="Calibri" w:hAnsi="Calibri"/>
                <w:color w:val="1E293B"/>
                <w:sz w:val="19"/>
              </w:rPr>
              <w:t>Enable customizable multi-tenant trip management with strict boundary privacy.</w:t>
            </w:r>
          </w:p>
        </w:tc>
        <w:tc>
          <w:tcPr>
            <w:tcW w:type="dxa" w:w="2160"/>
            <w:shd w:fill="F8FAFC"/>
            <w:tcMar>
              <w:top w:w="100" w:type="dxa"/>
              <w:bottom w:w="100" w:type="dxa"/>
              <w:left w:w="160" w:type="dxa"/>
              <w:right w:w="160" w:type="dxa"/>
            </w:tcMar>
          </w:tcPr>
          <w:p>
            <w:pPr>
              <w:jc w:val="left"/>
            </w:pPr>
            <w:r>
              <w:rPr>
                <w:rFonts w:ascii="Calibri" w:hAnsi="Calibri"/>
                <w:color w:val="1E293B"/>
                <w:sz w:val="19"/>
              </w:rPr>
              <w:t>FR-03, FR-11</w:t>
            </w:r>
          </w:p>
        </w:tc>
      </w:tr>
      <w:tr>
        <w:tc>
          <w:tcPr>
            <w:tcW w:type="dxa" w:w="2592"/>
            <w:shd w:fill="FFFFFF"/>
            <w:tcMar>
              <w:top w:w="100" w:type="dxa"/>
              <w:bottom w:w="100" w:type="dxa"/>
              <w:left w:w="160" w:type="dxa"/>
              <w:right w:w="160" w:type="dxa"/>
            </w:tcMar>
          </w:tcPr>
          <w:p>
            <w:pPr>
              <w:jc w:val="left"/>
            </w:pPr>
            <w:r>
              <w:rPr>
                <w:rFonts w:ascii="Calibri" w:hAnsi="Calibri"/>
                <w:color w:val="1E293B"/>
                <w:sz w:val="19"/>
              </w:rPr>
              <w:t>O3 — Routing &amp; Scheduling</w:t>
            </w:r>
          </w:p>
        </w:tc>
        <w:tc>
          <w:tcPr>
            <w:tcW w:type="dxa" w:w="4608"/>
            <w:shd w:fill="FFFFFF"/>
            <w:tcMar>
              <w:top w:w="100" w:type="dxa"/>
              <w:bottom w:w="100" w:type="dxa"/>
              <w:left w:w="160" w:type="dxa"/>
              <w:right w:w="160" w:type="dxa"/>
            </w:tcMar>
          </w:tcPr>
          <w:p>
            <w:pPr>
              <w:jc w:val="left"/>
            </w:pPr>
            <w:r>
              <w:rPr>
                <w:rFonts w:ascii="Calibri" w:hAnsi="Calibri"/>
                <w:color w:val="1E293B"/>
                <w:sz w:val="19"/>
              </w:rPr>
              <w:t>Provide destination staging, sequential route ordering, and time-stamped itinerary assignment.</w:t>
            </w:r>
          </w:p>
        </w:tc>
        <w:tc>
          <w:tcPr>
            <w:tcW w:type="dxa" w:w="2160"/>
            <w:shd w:fill="FFFFFF"/>
            <w:tcMar>
              <w:top w:w="100" w:type="dxa"/>
              <w:bottom w:w="100" w:type="dxa"/>
              <w:left w:w="160" w:type="dxa"/>
              <w:right w:w="160" w:type="dxa"/>
            </w:tcMar>
          </w:tcPr>
          <w:p>
            <w:pPr>
              <w:jc w:val="left"/>
            </w:pPr>
            <w:r>
              <w:rPr>
                <w:rFonts w:ascii="Calibri" w:hAnsi="Calibri"/>
                <w:color w:val="1E293B"/>
                <w:sz w:val="19"/>
              </w:rPr>
              <w:t>FR-06, FR-07, FR-08</w:t>
            </w:r>
          </w:p>
        </w:tc>
      </w:tr>
      <w:tr>
        <w:tc>
          <w:tcPr>
            <w:tcW w:type="dxa" w:w="2592"/>
            <w:shd w:fill="F8FAFC"/>
            <w:tcMar>
              <w:top w:w="100" w:type="dxa"/>
              <w:bottom w:w="100" w:type="dxa"/>
              <w:left w:w="160" w:type="dxa"/>
              <w:right w:w="160" w:type="dxa"/>
            </w:tcMar>
          </w:tcPr>
          <w:p>
            <w:pPr>
              <w:jc w:val="left"/>
            </w:pPr>
            <w:r>
              <w:rPr>
                <w:rFonts w:ascii="Calibri" w:hAnsi="Calibri"/>
                <w:color w:val="1E293B"/>
                <w:sz w:val="19"/>
              </w:rPr>
              <w:t>O4 — Financial Settlement</w:t>
            </w:r>
          </w:p>
        </w:tc>
        <w:tc>
          <w:tcPr>
            <w:tcW w:type="dxa" w:w="4608"/>
            <w:shd w:fill="F8FAFC"/>
            <w:tcMar>
              <w:top w:w="100" w:type="dxa"/>
              <w:bottom w:w="100" w:type="dxa"/>
              <w:left w:w="160" w:type="dxa"/>
              <w:right w:w="160" w:type="dxa"/>
            </w:tcMar>
          </w:tcPr>
          <w:p>
            <w:pPr>
              <w:jc w:val="left"/>
            </w:pPr>
            <w:r>
              <w:rPr>
                <w:rFonts w:ascii="Calibri" w:hAnsi="Calibri"/>
                <w:color w:val="1E293B"/>
                <w:sz w:val="19"/>
              </w:rPr>
              <w:t>Facilitate group expense tracking and execute greedy debt settlement optimization.</w:t>
            </w:r>
          </w:p>
        </w:tc>
        <w:tc>
          <w:tcPr>
            <w:tcW w:type="dxa" w:w="2160"/>
            <w:shd w:fill="F8FAFC"/>
            <w:tcMar>
              <w:top w:w="100" w:type="dxa"/>
              <w:bottom w:w="100" w:type="dxa"/>
              <w:left w:w="160" w:type="dxa"/>
              <w:right w:w="160" w:type="dxa"/>
            </w:tcMar>
          </w:tcPr>
          <w:p>
            <w:pPr>
              <w:jc w:val="left"/>
            </w:pPr>
            <w:r>
              <w:rPr>
                <w:rFonts w:ascii="Calibri" w:hAnsi="Calibri"/>
                <w:color w:val="1E293B"/>
                <w:sz w:val="19"/>
              </w:rPr>
              <w:t>FR-09, FR-10</w:t>
            </w:r>
          </w:p>
        </w:tc>
      </w:tr>
      <w:tr>
        <w:tc>
          <w:tcPr>
            <w:tcW w:type="dxa" w:w="2592"/>
            <w:shd w:fill="FFFFFF"/>
            <w:tcMar>
              <w:top w:w="100" w:type="dxa"/>
              <w:bottom w:w="100" w:type="dxa"/>
              <w:left w:w="160" w:type="dxa"/>
              <w:right w:w="160" w:type="dxa"/>
            </w:tcMar>
          </w:tcPr>
          <w:p>
            <w:pPr>
              <w:jc w:val="left"/>
            </w:pPr>
            <w:r>
              <w:rPr>
                <w:rFonts w:ascii="Calibri" w:hAnsi="Calibri"/>
                <w:color w:val="1E293B"/>
                <w:sz w:val="19"/>
              </w:rPr>
              <w:t>O5 — Authorization &amp; Auditing</w:t>
            </w:r>
          </w:p>
        </w:tc>
        <w:tc>
          <w:tcPr>
            <w:tcW w:type="dxa" w:w="4608"/>
            <w:shd w:fill="FFFFFF"/>
            <w:tcMar>
              <w:top w:w="100" w:type="dxa"/>
              <w:bottom w:w="100" w:type="dxa"/>
              <w:left w:w="160" w:type="dxa"/>
              <w:right w:w="160" w:type="dxa"/>
            </w:tcMar>
          </w:tcPr>
          <w:p>
            <w:pPr>
              <w:jc w:val="left"/>
            </w:pPr>
            <w:r>
              <w:rPr>
                <w:rFonts w:ascii="Calibri" w:hAnsi="Calibri"/>
                <w:color w:val="1E293B"/>
                <w:sz w:val="19"/>
              </w:rPr>
              <w:t>Enforce strict RBAC across all sub-resources and maintain tamper-evident audit logs.</w:t>
            </w:r>
          </w:p>
        </w:tc>
        <w:tc>
          <w:tcPr>
            <w:tcW w:type="dxa" w:w="2160"/>
            <w:shd w:fill="FFFFFF"/>
            <w:tcMar>
              <w:top w:w="100" w:type="dxa"/>
              <w:bottom w:w="100" w:type="dxa"/>
              <w:left w:w="160" w:type="dxa"/>
              <w:right w:w="160" w:type="dxa"/>
            </w:tcMar>
          </w:tcPr>
          <w:p>
            <w:pPr>
              <w:jc w:val="left"/>
            </w:pPr>
            <w:r>
              <w:rPr>
                <w:rFonts w:ascii="Calibri" w:hAnsi="Calibri"/>
                <w:color w:val="1E293B"/>
                <w:sz w:val="19"/>
              </w:rPr>
              <w:t>FR-04, FR-05, FR-12, FR-16</w:t>
            </w:r>
          </w:p>
        </w:tc>
      </w:tr>
      <w:tr>
        <w:tc>
          <w:tcPr>
            <w:tcW w:type="dxa" w:w="2592"/>
            <w:shd w:fill="F8FAFC"/>
            <w:tcMar>
              <w:top w:w="100" w:type="dxa"/>
              <w:bottom w:w="100" w:type="dxa"/>
              <w:left w:w="160" w:type="dxa"/>
              <w:right w:w="160" w:type="dxa"/>
            </w:tcMar>
          </w:tcPr>
          <w:p>
            <w:pPr>
              <w:jc w:val="left"/>
            </w:pPr>
            <w:r>
              <w:rPr>
                <w:rFonts w:ascii="Calibri" w:hAnsi="Calibri"/>
                <w:color w:val="1E293B"/>
                <w:sz w:val="19"/>
              </w:rPr>
              <w:t>O6 — DevSecOps Pipeline</w:t>
            </w:r>
          </w:p>
        </w:tc>
        <w:tc>
          <w:tcPr>
            <w:tcW w:type="dxa" w:w="4608"/>
            <w:shd w:fill="F8FAFC"/>
            <w:tcMar>
              <w:top w:w="100" w:type="dxa"/>
              <w:bottom w:w="100" w:type="dxa"/>
              <w:left w:w="160" w:type="dxa"/>
              <w:right w:w="160" w:type="dxa"/>
            </w:tcMar>
          </w:tcPr>
          <w:p>
            <w:pPr>
              <w:jc w:val="left"/>
            </w:pPr>
            <w:r>
              <w:rPr>
                <w:rFonts w:ascii="Calibri" w:hAnsi="Calibri"/>
                <w:color w:val="1E293B"/>
                <w:sz w:val="19"/>
              </w:rPr>
              <w:t>Automate static code scanning, container scanning, and CI/CD security validation gates.</w:t>
            </w:r>
          </w:p>
        </w:tc>
        <w:tc>
          <w:tcPr>
            <w:tcW w:type="dxa" w:w="2160"/>
            <w:shd w:fill="F8FAFC"/>
            <w:tcMar>
              <w:top w:w="100" w:type="dxa"/>
              <w:bottom w:w="100" w:type="dxa"/>
              <w:left w:w="160" w:type="dxa"/>
              <w:right w:w="160" w:type="dxa"/>
            </w:tcMar>
          </w:tcPr>
          <w:p>
            <w:pPr>
              <w:jc w:val="left"/>
            </w:pPr>
            <w:r>
              <w:rPr>
                <w:rFonts w:ascii="Calibri" w:hAnsi="Calibri"/>
                <w:color w:val="1E293B"/>
                <w:sz w:val="19"/>
              </w:rPr>
              <w:t>FR-14, FR-15</w:t>
            </w:r>
          </w:p>
        </w:tc>
      </w:tr>
    </w:tbl>
    <w:p>
      <w:r>
        <w:br w:type="page"/>
      </w:r>
    </w:p>
    <w:p>
      <w:pPr>
        <w:keepNext/>
        <w:spacing w:before="360" w:after="120"/>
      </w:pPr>
      <w:r>
        <w:rPr>
          <w:rFonts w:ascii="Calibri" w:hAnsi="Calibri"/>
          <w:b/>
          <w:color w:val="1E3A8A"/>
          <w:sz w:val="32"/>
        </w:rPr>
        <w:t>4. External Interface Requirements</w:t>
      </w:r>
    </w:p>
    <w:p>
      <w:pPr>
        <w:keepNext/>
        <w:spacing w:before="240" w:after="80"/>
      </w:pPr>
      <w:r>
        <w:rPr>
          <w:rFonts w:ascii="Calibri" w:hAnsi="Calibri"/>
          <w:b/>
          <w:color w:val="2563EB"/>
          <w:sz w:val="26"/>
        </w:rPr>
        <w:t>4.1 User Interfaces</w:t>
      </w:r>
    </w:p>
    <w:p>
      <w:pPr>
        <w:pStyle w:val="ListBullet"/>
        <w:spacing w:before="0" w:after="60" w:line="276" w:lineRule="auto"/>
      </w:pPr>
      <w:r>
        <w:rPr>
          <w:rFonts w:ascii="Calibri" w:hAnsi="Calibri"/>
          <w:b/>
          <w:color w:val="0F172A"/>
          <w:sz w:val="20"/>
        </w:rPr>
        <w:t xml:space="preserve">Auth Portal: </w:t>
      </w:r>
      <w:r>
        <w:rPr>
          <w:rFonts w:ascii="Calibri" w:hAnsi="Calibri"/>
          <w:color w:val="334155"/>
          <w:sz w:val="20"/>
        </w:rPr>
        <w:t>Provides a modern dual-tab interface for secure Registration and Login with real-time client-side form validation, password strength indicators, and error banners.</w:t>
      </w:r>
    </w:p>
    <w:p>
      <w:pPr>
        <w:pStyle w:val="ListBullet"/>
        <w:spacing w:before="0" w:after="60" w:line="276" w:lineRule="auto"/>
      </w:pPr>
      <w:r>
        <w:rPr>
          <w:rFonts w:ascii="Calibri" w:hAnsi="Calibri"/>
          <w:b/>
          <w:color w:val="0F172A"/>
          <w:sz w:val="20"/>
        </w:rPr>
        <w:t xml:space="preserve">Main Travel Dashboard: </w:t>
      </w:r>
      <w:r>
        <w:rPr>
          <w:rFonts w:ascii="Calibri" w:hAnsi="Calibri"/>
          <w:color w:val="334155"/>
          <w:sz w:val="20"/>
        </w:rPr>
        <w:t>Displays user-owned and shared trips, complete with countdowns, status tags, budget summaries, and an action trigger for creating new trips.</w:t>
      </w:r>
    </w:p>
    <w:p>
      <w:pPr>
        <w:pStyle w:val="ListBullet"/>
        <w:spacing w:before="0" w:after="60" w:line="276" w:lineRule="auto"/>
      </w:pPr>
      <w:r>
        <w:rPr>
          <w:rFonts w:ascii="Calibri" w:hAnsi="Calibri"/>
          <w:b/>
          <w:color w:val="0F172A"/>
          <w:sz w:val="20"/>
        </w:rPr>
        <w:t xml:space="preserve">Trip Workspace: </w:t>
      </w:r>
      <w:r>
        <w:rPr>
          <w:rFonts w:ascii="Calibri" w:hAnsi="Calibri"/>
          <w:color w:val="334155"/>
          <w:sz w:val="20"/>
        </w:rPr>
        <w:t>A multi-tab command center featuring: Trip Overview, Destination Route Builder, Daily Itinerary Planner, Collaborative Expense Ledger, and Collaborator Manager.</w:t>
      </w:r>
    </w:p>
    <w:p>
      <w:pPr>
        <w:pStyle w:val="ListBullet"/>
        <w:spacing w:before="0" w:after="60" w:line="276" w:lineRule="auto"/>
      </w:pPr>
      <w:r>
        <w:rPr>
          <w:rFonts w:ascii="Calibri" w:hAnsi="Calibri"/>
          <w:b/>
          <w:color w:val="0F172A"/>
          <w:sz w:val="20"/>
        </w:rPr>
        <w:t xml:space="preserve">Expense Settlement View: </w:t>
      </w:r>
      <w:r>
        <w:rPr>
          <w:rFonts w:ascii="Calibri" w:hAnsi="Calibri"/>
          <w:color w:val="334155"/>
          <w:sz w:val="20"/>
        </w:rPr>
        <w:t>Visualizes net member balances and generates an interactive 'Who Owes Whom' debt transfer matrix with individual clearance badges.</w:t>
      </w:r>
    </w:p>
    <w:p>
      <w:pPr>
        <w:pStyle w:val="ListBullet"/>
        <w:spacing w:before="0" w:after="60" w:line="276" w:lineRule="auto"/>
      </w:pPr>
      <w:r>
        <w:rPr>
          <w:rFonts w:ascii="Calibri" w:hAnsi="Calibri"/>
          <w:b/>
          <w:color w:val="0F172A"/>
          <w:sz w:val="20"/>
        </w:rPr>
        <w:t xml:space="preserve">Audit Log Viewer: </w:t>
      </w:r>
      <w:r>
        <w:rPr>
          <w:rFonts w:ascii="Calibri" w:hAnsi="Calibri"/>
          <w:color w:val="334155"/>
          <w:sz w:val="20"/>
        </w:rPr>
        <w:t>Administrative modal displaying real-time security events, filterable by action type, severity, and actor.</w:t>
      </w:r>
    </w:p>
    <w:p>
      <w:pPr>
        <w:keepNext/>
        <w:spacing w:before="240" w:after="80"/>
      </w:pPr>
      <w:r>
        <w:rPr>
          <w:rFonts w:ascii="Calibri" w:hAnsi="Calibri"/>
          <w:b/>
          <w:color w:val="2563EB"/>
          <w:sz w:val="26"/>
        </w:rPr>
        <w:t>4.2 Software Interfaces</w:t>
      </w:r>
    </w:p>
    <w:p>
      <w:pPr>
        <w:pStyle w:val="ListBullet"/>
        <w:spacing w:before="0" w:after="60" w:line="276" w:lineRule="auto"/>
      </w:pPr>
      <w:r>
        <w:rPr>
          <w:rFonts w:ascii="Calibri" w:hAnsi="Calibri"/>
          <w:b/>
          <w:color w:val="0F172A"/>
          <w:sz w:val="20"/>
        </w:rPr>
        <w:t xml:space="preserve">Mapping Service Interface: </w:t>
      </w:r>
      <w:r>
        <w:rPr>
          <w:rFonts w:ascii="Calibri" w:hAnsi="Calibri"/>
          <w:color w:val="334155"/>
          <w:sz w:val="20"/>
        </w:rPr>
        <w:t>OpenStreetMap / Leaflet tile API interfaces for rendering geographical destination waypoints and route lines.</w:t>
      </w:r>
    </w:p>
    <w:p>
      <w:pPr>
        <w:pStyle w:val="ListBullet"/>
        <w:spacing w:before="0" w:after="60" w:line="276" w:lineRule="auto"/>
      </w:pPr>
      <w:r>
        <w:rPr>
          <w:rFonts w:ascii="Calibri" w:hAnsi="Calibri"/>
          <w:b/>
          <w:color w:val="0F172A"/>
          <w:sz w:val="20"/>
        </w:rPr>
        <w:t xml:space="preserve">Foreign Exchange API: </w:t>
      </w:r>
      <w:r>
        <w:rPr>
          <w:rFonts w:ascii="Calibri" w:hAnsi="Calibri"/>
          <w:color w:val="334155"/>
          <w:sz w:val="20"/>
        </w:rPr>
        <w:t>RESTful exchange rate service providing updated fiat currency conversion ratios for foreign travel expenditure.</w:t>
      </w:r>
    </w:p>
    <w:p>
      <w:pPr>
        <w:pStyle w:val="ListBullet"/>
        <w:spacing w:before="0" w:after="60" w:line="276" w:lineRule="auto"/>
      </w:pPr>
      <w:r>
        <w:rPr>
          <w:rFonts w:ascii="Calibri" w:hAnsi="Calibri"/>
          <w:b/>
          <w:color w:val="0F172A"/>
          <w:sz w:val="20"/>
        </w:rPr>
        <w:t xml:space="preserve">Docker Container Engine: </w:t>
      </w:r>
      <w:r>
        <w:rPr>
          <w:rFonts w:ascii="Calibri" w:hAnsi="Calibri"/>
          <w:color w:val="334155"/>
          <w:sz w:val="20"/>
        </w:rPr>
        <w:t>OCI-compliant container engine hosting the microservices runtime within isolated namespaces.</w:t>
      </w:r>
    </w:p>
    <w:p>
      <w:pPr>
        <w:pStyle w:val="ListBullet"/>
        <w:spacing w:before="0" w:after="60" w:line="276" w:lineRule="auto"/>
      </w:pPr>
      <w:r>
        <w:rPr>
          <w:rFonts w:ascii="Calibri" w:hAnsi="Calibri"/>
          <w:b/>
          <w:color w:val="0F172A"/>
          <w:sz w:val="20"/>
        </w:rPr>
        <w:t xml:space="preserve">Kubernetes Cluster API: </w:t>
      </w:r>
      <w:r>
        <w:rPr>
          <w:rFonts w:ascii="Calibri" w:hAnsi="Calibri"/>
          <w:color w:val="334155"/>
          <w:sz w:val="20"/>
        </w:rPr>
        <w:t>Kubernetes API orchestrating Horizontal Pod Autoscalers, Ingress controllers, and persistent volume bindings.</w:t>
      </w:r>
    </w:p>
    <w:p>
      <w:pPr>
        <w:keepNext/>
        <w:spacing w:before="240" w:after="80"/>
      </w:pPr>
      <w:r>
        <w:rPr>
          <w:rFonts w:ascii="Calibri" w:hAnsi="Calibri"/>
          <w:b/>
          <w:color w:val="2563EB"/>
          <w:sz w:val="26"/>
        </w:rPr>
        <w:t>4.3 Communication Interfaces</w:t>
      </w:r>
    </w:p>
    <w:p>
      <w:pPr>
        <w:pStyle w:val="ListBullet"/>
        <w:spacing w:before="0" w:after="60" w:line="276" w:lineRule="auto"/>
      </w:pPr>
      <w:r>
        <w:rPr>
          <w:rFonts w:ascii="Calibri" w:hAnsi="Calibri"/>
          <w:b/>
          <w:color w:val="0F172A"/>
          <w:sz w:val="20"/>
        </w:rPr>
        <w:t xml:space="preserve">Transport Security: </w:t>
      </w:r>
      <w:r>
        <w:rPr>
          <w:rFonts w:ascii="Calibri" w:hAnsi="Calibri"/>
          <w:color w:val="334155"/>
          <w:sz w:val="20"/>
        </w:rPr>
        <w:t>Mandatory TLS 1.3 encryption across all public and internal service boundaries. Plaintext HTTP is strictly rejected or redirected.</w:t>
      </w:r>
    </w:p>
    <w:p>
      <w:pPr>
        <w:pStyle w:val="ListBullet"/>
        <w:spacing w:before="0" w:after="60" w:line="276" w:lineRule="auto"/>
      </w:pPr>
      <w:r>
        <w:rPr>
          <w:rFonts w:ascii="Calibri" w:hAnsi="Calibri"/>
          <w:b/>
          <w:color w:val="0F172A"/>
          <w:sz w:val="20"/>
        </w:rPr>
        <w:t xml:space="preserve">Application Protocol: </w:t>
      </w:r>
      <w:r>
        <w:rPr>
          <w:rFonts w:ascii="Calibri" w:hAnsi="Calibri"/>
          <w:color w:val="334155"/>
          <w:sz w:val="20"/>
        </w:rPr>
        <w:t>Standardized JSON payloads adhering to RFC 8259, accompanied by Content-Type: application/json headers.</w:t>
      </w:r>
    </w:p>
    <w:p>
      <w:pPr>
        <w:pStyle w:val="ListBullet"/>
        <w:spacing w:before="0" w:after="60" w:line="276" w:lineRule="auto"/>
      </w:pPr>
      <w:r>
        <w:rPr>
          <w:rFonts w:ascii="Calibri" w:hAnsi="Calibri"/>
          <w:b/>
          <w:color w:val="0F172A"/>
          <w:sz w:val="20"/>
        </w:rPr>
        <w:t xml:space="preserve">Authentication Headers: </w:t>
      </w:r>
      <w:r>
        <w:rPr>
          <w:rFonts w:ascii="Calibri" w:hAnsi="Calibri"/>
          <w:color w:val="334155"/>
          <w:sz w:val="20"/>
        </w:rPr>
        <w:t>RFC 6750 Bearer Token standard passing signed JWT credentials in the Authorization header of all API calls.</w:t>
      </w:r>
    </w:p>
    <w:p>
      <w:pPr>
        <w:keepNext/>
        <w:spacing w:before="360" w:after="120"/>
      </w:pPr>
      <w:r>
        <w:rPr>
          <w:rFonts w:ascii="Calibri" w:hAnsi="Calibri"/>
          <w:b/>
          <w:color w:val="1E3A8A"/>
          <w:sz w:val="32"/>
        </w:rPr>
        <w:t>5. Non-Functional Requirements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880"/>
            <w:shd w:fill="1E3A8A"/>
            <w:tcMar>
              <w:top w:w="140" w:type="dxa"/>
              <w:bottom w:w="140" w:type="dxa"/>
              <w:left w:w="160" w:type="dxa"/>
              <w:right w:w="160" w:type="dxa"/>
            </w:tcMar>
          </w:tcPr>
          <w:p>
            <w:pPr>
              <w:jc w:val="left"/>
            </w:pPr>
            <w:r>
              <w:rPr>
                <w:rFonts w:ascii="Calibri" w:hAnsi="Calibri"/>
                <w:b/>
                <w:color w:val="FFFFFF"/>
                <w:sz w:val="20"/>
              </w:rPr>
              <w:t>Attribute &amp; Identifier</w:t>
            </w:r>
          </w:p>
        </w:tc>
        <w:tc>
          <w:tcPr>
            <w:tcW w:type="dxa" w:w="6480"/>
            <w:shd w:fill="1E3A8A"/>
            <w:tcMar>
              <w:top w:w="140" w:type="dxa"/>
              <w:bottom w:w="140" w:type="dxa"/>
              <w:left w:w="160" w:type="dxa"/>
              <w:right w:w="160" w:type="dxa"/>
            </w:tcMar>
          </w:tcPr>
          <w:p>
            <w:pPr>
              <w:jc w:val="left"/>
            </w:pPr>
            <w:r>
              <w:rPr>
                <w:rFonts w:ascii="Calibri" w:hAnsi="Calibri"/>
                <w:b/>
                <w:color w:val="FFFFFF"/>
                <w:sz w:val="20"/>
              </w:rPr>
              <w:t>Normative Specification Statement</w:t>
            </w:r>
          </w:p>
        </w:tc>
      </w:tr>
      <w:tr>
        <w:tc>
          <w:tcPr>
            <w:tcW w:type="dxa" w:w="2880"/>
            <w:shd w:fill="FFFFFF"/>
            <w:tcMar>
              <w:top w:w="100" w:type="dxa"/>
              <w:bottom w:w="100" w:type="dxa"/>
              <w:left w:w="160" w:type="dxa"/>
              <w:right w:w="160" w:type="dxa"/>
            </w:tcMar>
          </w:tcPr>
          <w:p>
            <w:pPr>
              <w:jc w:val="left"/>
            </w:pPr>
            <w:r>
              <w:rPr>
                <w:rFonts w:ascii="Calibri" w:hAnsi="Calibri"/>
                <w:color w:val="1E293B"/>
                <w:sz w:val="19"/>
              </w:rPr>
              <w:t>NFR-01: Performance</w:t>
            </w:r>
          </w:p>
        </w:tc>
        <w:tc>
          <w:tcPr>
            <w:tcW w:type="dxa" w:w="6480"/>
            <w:shd w:fill="FFFFFF"/>
            <w:tcMar>
              <w:top w:w="100" w:type="dxa"/>
              <w:bottom w:w="100" w:type="dxa"/>
              <w:left w:w="160" w:type="dxa"/>
              <w:right w:w="160" w:type="dxa"/>
            </w:tcMar>
          </w:tcPr>
          <w:p>
            <w:pPr>
              <w:jc w:val="left"/>
            </w:pPr>
            <w:r>
              <w:rPr>
                <w:rFonts w:ascii="Calibri" w:hAnsi="Calibri"/>
                <w:color w:val="1E293B"/>
                <w:sz w:val="19"/>
              </w:rPr>
              <w:t>API endpoint response times shall not exceed 200 ms under nominal load. The debt settlement optimization algorithm shall calculate complete balance distributions in under 10 ms for up to 50 trip participants.</w:t>
            </w:r>
          </w:p>
        </w:tc>
      </w:tr>
      <w:tr>
        <w:tc>
          <w:tcPr>
            <w:tcW w:type="dxa" w:w="2880"/>
            <w:shd w:fill="F8FAFC"/>
            <w:tcMar>
              <w:top w:w="100" w:type="dxa"/>
              <w:bottom w:w="100" w:type="dxa"/>
              <w:left w:w="160" w:type="dxa"/>
              <w:right w:w="160" w:type="dxa"/>
            </w:tcMar>
          </w:tcPr>
          <w:p>
            <w:pPr>
              <w:jc w:val="left"/>
            </w:pPr>
            <w:r>
              <w:rPr>
                <w:rFonts w:ascii="Calibri" w:hAnsi="Calibri"/>
                <w:color w:val="1E293B"/>
                <w:sz w:val="19"/>
              </w:rPr>
              <w:t>NFR-02: Scalability</w:t>
            </w:r>
          </w:p>
        </w:tc>
        <w:tc>
          <w:tcPr>
            <w:tcW w:type="dxa" w:w="6480"/>
            <w:shd w:fill="F8FAFC"/>
            <w:tcMar>
              <w:top w:w="100" w:type="dxa"/>
              <w:bottom w:w="100" w:type="dxa"/>
              <w:left w:w="160" w:type="dxa"/>
              <w:right w:w="160" w:type="dxa"/>
            </w:tcMar>
          </w:tcPr>
          <w:p>
            <w:pPr>
              <w:jc w:val="left"/>
            </w:pPr>
            <w:r>
              <w:rPr>
                <w:rFonts w:ascii="Calibri" w:hAnsi="Calibri"/>
                <w:color w:val="1E293B"/>
                <w:sz w:val="19"/>
              </w:rPr>
              <w:t>The system architecture shall support at least 1,000 concurrent active trips and 10,000 daily API transactions through horizontal container scaling without performance degradation.</w:t>
            </w:r>
          </w:p>
        </w:tc>
      </w:tr>
      <w:tr>
        <w:tc>
          <w:tcPr>
            <w:tcW w:type="dxa" w:w="2880"/>
            <w:shd w:fill="FFFFFF"/>
            <w:tcMar>
              <w:top w:w="100" w:type="dxa"/>
              <w:bottom w:w="100" w:type="dxa"/>
              <w:left w:w="160" w:type="dxa"/>
              <w:right w:w="160" w:type="dxa"/>
            </w:tcMar>
          </w:tcPr>
          <w:p>
            <w:pPr>
              <w:jc w:val="left"/>
            </w:pPr>
            <w:r>
              <w:rPr>
                <w:rFonts w:ascii="Calibri" w:hAnsi="Calibri"/>
                <w:color w:val="1E293B"/>
                <w:sz w:val="19"/>
              </w:rPr>
              <w:t>NFR-03: Availability</w:t>
            </w:r>
          </w:p>
        </w:tc>
        <w:tc>
          <w:tcPr>
            <w:tcW w:type="dxa" w:w="6480"/>
            <w:shd w:fill="FFFFFF"/>
            <w:tcMar>
              <w:top w:w="100" w:type="dxa"/>
              <w:bottom w:w="100" w:type="dxa"/>
              <w:left w:w="160" w:type="dxa"/>
              <w:right w:w="160" w:type="dxa"/>
            </w:tcMar>
          </w:tcPr>
          <w:p>
            <w:pPr>
              <w:jc w:val="left"/>
            </w:pPr>
            <w:r>
              <w:rPr>
                <w:rFonts w:ascii="Calibri" w:hAnsi="Calibri"/>
                <w:color w:val="1E293B"/>
                <w:sz w:val="19"/>
              </w:rPr>
              <w:t>The platform shall maintain 99.9% uptime per calendar month, excluding scheduled maintenance windows announced at least 48 hours in advance.</w:t>
            </w:r>
          </w:p>
        </w:tc>
      </w:tr>
      <w:tr>
        <w:tc>
          <w:tcPr>
            <w:tcW w:type="dxa" w:w="2880"/>
            <w:shd w:fill="F8FAFC"/>
            <w:tcMar>
              <w:top w:w="100" w:type="dxa"/>
              <w:bottom w:w="100" w:type="dxa"/>
              <w:left w:w="160" w:type="dxa"/>
              <w:right w:w="160" w:type="dxa"/>
            </w:tcMar>
          </w:tcPr>
          <w:p>
            <w:pPr>
              <w:jc w:val="left"/>
            </w:pPr>
            <w:r>
              <w:rPr>
                <w:rFonts w:ascii="Calibri" w:hAnsi="Calibri"/>
                <w:color w:val="1E293B"/>
                <w:sz w:val="19"/>
              </w:rPr>
              <w:t>NFR-04: Usability</w:t>
            </w:r>
          </w:p>
        </w:tc>
        <w:tc>
          <w:tcPr>
            <w:tcW w:type="dxa" w:w="6480"/>
            <w:shd w:fill="F8FAFC"/>
            <w:tcMar>
              <w:top w:w="100" w:type="dxa"/>
              <w:bottom w:w="100" w:type="dxa"/>
              <w:left w:w="160" w:type="dxa"/>
              <w:right w:w="160" w:type="dxa"/>
            </w:tcMar>
          </w:tcPr>
          <w:p>
            <w:pPr>
              <w:jc w:val="left"/>
            </w:pPr>
            <w:r>
              <w:rPr>
                <w:rFonts w:ascii="Calibri" w:hAnsi="Calibri"/>
                <w:color w:val="1E293B"/>
                <w:sz w:val="19"/>
              </w:rPr>
              <w:t>All primary operations (creating a trip, adding a stop, logging an expense, generating debt settlement) shall be achievable within three user clicks from the active trip workspace.</w:t>
            </w:r>
          </w:p>
        </w:tc>
      </w:tr>
      <w:tr>
        <w:tc>
          <w:tcPr>
            <w:tcW w:type="dxa" w:w="2880"/>
            <w:shd w:fill="FFFFFF"/>
            <w:tcMar>
              <w:top w:w="100" w:type="dxa"/>
              <w:bottom w:w="100" w:type="dxa"/>
              <w:left w:w="160" w:type="dxa"/>
              <w:right w:w="160" w:type="dxa"/>
            </w:tcMar>
          </w:tcPr>
          <w:p>
            <w:pPr>
              <w:jc w:val="left"/>
            </w:pPr>
            <w:r>
              <w:rPr>
                <w:rFonts w:ascii="Calibri" w:hAnsi="Calibri"/>
                <w:color w:val="1E293B"/>
                <w:sz w:val="19"/>
              </w:rPr>
              <w:t>NFR-05: Maintainability</w:t>
            </w:r>
          </w:p>
        </w:tc>
        <w:tc>
          <w:tcPr>
            <w:tcW w:type="dxa" w:w="6480"/>
            <w:shd w:fill="FFFFFF"/>
            <w:tcMar>
              <w:top w:w="100" w:type="dxa"/>
              <w:bottom w:w="100" w:type="dxa"/>
              <w:left w:w="160" w:type="dxa"/>
              <w:right w:w="160" w:type="dxa"/>
            </w:tcMar>
          </w:tcPr>
          <w:p>
            <w:pPr>
              <w:jc w:val="left"/>
            </w:pPr>
            <w:r>
              <w:rPr>
                <w:rFonts w:ascii="Calibri" w:hAnsi="Calibri"/>
                <w:color w:val="1E293B"/>
                <w:sz w:val="19"/>
              </w:rPr>
              <w:t>The codebase shall enforce modular separation between routing controllers, business services, and database persistence layers. Automated code test coverage shall exceed 85%.</w:t>
            </w:r>
          </w:p>
        </w:tc>
      </w:tr>
      <w:tr>
        <w:tc>
          <w:tcPr>
            <w:tcW w:type="dxa" w:w="2880"/>
            <w:shd w:fill="F8FAFC"/>
            <w:tcMar>
              <w:top w:w="100" w:type="dxa"/>
              <w:bottom w:w="100" w:type="dxa"/>
              <w:left w:w="160" w:type="dxa"/>
              <w:right w:w="160" w:type="dxa"/>
            </w:tcMar>
          </w:tcPr>
          <w:p>
            <w:pPr>
              <w:jc w:val="left"/>
            </w:pPr>
            <w:r>
              <w:rPr>
                <w:rFonts w:ascii="Calibri" w:hAnsi="Calibri"/>
                <w:color w:val="1E293B"/>
                <w:sz w:val="19"/>
              </w:rPr>
              <w:t>NFR-06: Portability</w:t>
            </w:r>
          </w:p>
        </w:tc>
        <w:tc>
          <w:tcPr>
            <w:tcW w:type="dxa" w:w="6480"/>
            <w:shd w:fill="F8FAFC"/>
            <w:tcMar>
              <w:top w:w="100" w:type="dxa"/>
              <w:bottom w:w="100" w:type="dxa"/>
              <w:left w:w="160" w:type="dxa"/>
              <w:right w:w="160" w:type="dxa"/>
            </w:tcMar>
          </w:tcPr>
          <w:p>
            <w:pPr>
              <w:jc w:val="left"/>
            </w:pPr>
            <w:r>
              <w:rPr>
                <w:rFonts w:ascii="Calibri" w:hAnsi="Calibri"/>
                <w:color w:val="1E293B"/>
                <w:sz w:val="19"/>
              </w:rPr>
              <w:t>The application shall run seamlessly inside standard Linux containers (Docker / OCI) on any cloud platform (AWS, GCP, Azure, or on-premises Kubernetes).</w:t>
            </w:r>
          </w:p>
        </w:tc>
      </w:tr>
      <w:tr>
        <w:tc>
          <w:tcPr>
            <w:tcW w:type="dxa" w:w="2880"/>
            <w:shd w:fill="FFFFFF"/>
            <w:tcMar>
              <w:top w:w="100" w:type="dxa"/>
              <w:bottom w:w="100" w:type="dxa"/>
              <w:left w:w="160" w:type="dxa"/>
              <w:right w:w="160" w:type="dxa"/>
            </w:tcMar>
          </w:tcPr>
          <w:p>
            <w:pPr>
              <w:jc w:val="left"/>
            </w:pPr>
            <w:r>
              <w:rPr>
                <w:rFonts w:ascii="Calibri" w:hAnsi="Calibri"/>
                <w:color w:val="1E293B"/>
                <w:sz w:val="19"/>
              </w:rPr>
              <w:t>NFR-07: Reliability &amp; Fault Tolerance</w:t>
            </w:r>
          </w:p>
        </w:tc>
        <w:tc>
          <w:tcPr>
            <w:tcW w:type="dxa" w:w="6480"/>
            <w:shd w:fill="FFFFFF"/>
            <w:tcMar>
              <w:top w:w="100" w:type="dxa"/>
              <w:bottom w:w="100" w:type="dxa"/>
              <w:left w:w="160" w:type="dxa"/>
              <w:right w:w="160" w:type="dxa"/>
            </w:tcMar>
          </w:tcPr>
          <w:p>
            <w:pPr>
              <w:jc w:val="left"/>
            </w:pPr>
            <w:r>
              <w:rPr>
                <w:rFonts w:ascii="Calibri" w:hAnsi="Calibri"/>
                <w:color w:val="1E293B"/>
                <w:sz w:val="19"/>
              </w:rPr>
              <w:t>Data persistence operations shall implement atomic transactional writes to prevent file corruption in the event of unexpected process termination.</w:t>
            </w:r>
          </w:p>
        </w:tc>
      </w:tr>
    </w:tbl>
    <w:p>
      <w:r>
        <w:br w:type="page"/>
      </w:r>
    </w:p>
    <w:p>
      <w:pPr>
        <w:keepNext/>
        <w:spacing w:before="360" w:after="120"/>
      </w:pPr>
      <w:r>
        <w:rPr>
          <w:rFonts w:ascii="Calibri" w:hAnsi="Calibri"/>
          <w:b/>
          <w:color w:val="1E3A8A"/>
          <w:sz w:val="32"/>
        </w:rPr>
        <w:t>6. Security Requirements &amp; Assets Inventory</w:t>
      </w:r>
    </w:p>
    <w:p>
      <w:pPr>
        <w:keepNext/>
        <w:spacing w:before="240" w:after="80"/>
      </w:pPr>
      <w:r>
        <w:rPr>
          <w:rFonts w:ascii="Calibri" w:hAnsi="Calibri"/>
          <w:b/>
          <w:color w:val="2563EB"/>
          <w:sz w:val="26"/>
        </w:rPr>
        <w:t>6.1 System Assets Inventory &amp; Sensitivity Classification</w:t>
      </w:r>
    </w:p>
    <w:p>
      <w:pPr>
        <w:spacing w:before="0" w:after="80" w:line="276" w:lineRule="auto"/>
      </w:pPr>
      <w:r>
        <w:rPr>
          <w:rFonts w:ascii="Calibri" w:hAnsi="Calibri"/>
          <w:color w:val="334155"/>
          <w:sz w:val="20"/>
        </w:rPr>
        <w:t>In accordance with cybersecurity requirements engineering best practices, all critical platform assets have been identified, categorized, and evaluated for Confidentiality (C), Integrity (I), and Availability (A) impact. Specific threats and technical mitigation controls are explicitly mapped for each asset.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008"/>
            <w:shd w:fill="1E3A8A"/>
            <w:tcMar>
              <w:top w:w="140" w:type="dxa"/>
              <w:bottom w:w="140" w:type="dxa"/>
              <w:left w:w="160" w:type="dxa"/>
              <w:right w:w="160" w:type="dxa"/>
            </w:tcMar>
          </w:tcPr>
          <w:p>
            <w:pPr>
              <w:jc w:val="center"/>
            </w:pPr>
            <w:r>
              <w:rPr>
                <w:rFonts w:ascii="Calibri" w:hAnsi="Calibri"/>
                <w:b/>
                <w:color w:val="FFFFFF"/>
                <w:sz w:val="20"/>
              </w:rPr>
              <w:t>Asset ID</w:t>
            </w:r>
          </w:p>
        </w:tc>
        <w:tc>
          <w:tcPr>
            <w:tcW w:type="dxa" w:w="1728"/>
            <w:shd w:fill="1E3A8A"/>
            <w:tcMar>
              <w:top w:w="140" w:type="dxa"/>
              <w:bottom w:w="140" w:type="dxa"/>
              <w:left w:w="160" w:type="dxa"/>
              <w:right w:w="160" w:type="dxa"/>
            </w:tcMar>
          </w:tcPr>
          <w:p>
            <w:pPr>
              <w:jc w:val="left"/>
            </w:pPr>
            <w:r>
              <w:rPr>
                <w:rFonts w:ascii="Calibri" w:hAnsi="Calibri"/>
                <w:b/>
                <w:color w:val="FFFFFF"/>
                <w:sz w:val="20"/>
              </w:rPr>
              <w:t>Asset Name</w:t>
            </w:r>
          </w:p>
        </w:tc>
        <w:tc>
          <w:tcPr>
            <w:tcW w:type="dxa" w:w="1440"/>
            <w:shd w:fill="1E3A8A"/>
            <w:tcMar>
              <w:top w:w="140" w:type="dxa"/>
              <w:bottom w:w="140" w:type="dxa"/>
              <w:left w:w="160" w:type="dxa"/>
              <w:right w:w="160" w:type="dxa"/>
            </w:tcMar>
          </w:tcPr>
          <w:p>
            <w:pPr>
              <w:jc w:val="left"/>
            </w:pPr>
            <w:r>
              <w:rPr>
                <w:rFonts w:ascii="Calibri" w:hAnsi="Calibri"/>
                <w:b/>
                <w:color w:val="FFFFFF"/>
                <w:sz w:val="20"/>
              </w:rPr>
              <w:t>Category</w:t>
            </w:r>
          </w:p>
        </w:tc>
        <w:tc>
          <w:tcPr>
            <w:tcW w:type="dxa" w:w="1296"/>
            <w:shd w:fill="1E3A8A"/>
            <w:tcMar>
              <w:top w:w="140" w:type="dxa"/>
              <w:bottom w:w="140" w:type="dxa"/>
              <w:left w:w="160" w:type="dxa"/>
              <w:right w:w="160" w:type="dxa"/>
            </w:tcMar>
          </w:tcPr>
          <w:p>
            <w:pPr>
              <w:jc w:val="center"/>
            </w:pPr>
            <w:r>
              <w:rPr>
                <w:rFonts w:ascii="Calibri" w:hAnsi="Calibri"/>
                <w:b/>
                <w:color w:val="FFFFFF"/>
                <w:sz w:val="20"/>
              </w:rPr>
              <w:t>CIA Rating</w:t>
            </w:r>
          </w:p>
        </w:tc>
        <w:tc>
          <w:tcPr>
            <w:tcW w:type="dxa" w:w="1872"/>
            <w:shd w:fill="1E3A8A"/>
            <w:tcMar>
              <w:top w:w="140" w:type="dxa"/>
              <w:bottom w:w="140" w:type="dxa"/>
              <w:left w:w="160" w:type="dxa"/>
              <w:right w:w="160" w:type="dxa"/>
            </w:tcMar>
          </w:tcPr>
          <w:p>
            <w:pPr>
              <w:jc w:val="left"/>
            </w:pPr>
            <w:r>
              <w:rPr>
                <w:rFonts w:ascii="Calibri" w:hAnsi="Calibri"/>
                <w:b/>
                <w:color w:val="FFFFFF"/>
                <w:sz w:val="20"/>
              </w:rPr>
              <w:t>Identified Threats</w:t>
            </w:r>
          </w:p>
        </w:tc>
        <w:tc>
          <w:tcPr>
            <w:tcW w:type="dxa" w:w="2016"/>
            <w:shd w:fill="1E3A8A"/>
            <w:tcMar>
              <w:top w:w="140" w:type="dxa"/>
              <w:bottom w:w="140" w:type="dxa"/>
              <w:left w:w="160" w:type="dxa"/>
              <w:right w:w="160" w:type="dxa"/>
            </w:tcMar>
          </w:tcPr>
          <w:p>
            <w:pPr>
              <w:jc w:val="left"/>
            </w:pPr>
            <w:r>
              <w:rPr>
                <w:rFonts w:ascii="Calibri" w:hAnsi="Calibri"/>
                <w:b/>
                <w:color w:val="FFFFFF"/>
                <w:sz w:val="20"/>
              </w:rPr>
              <w:t>Applied Security Controls</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AST-01</w:t>
            </w:r>
          </w:p>
        </w:tc>
        <w:tc>
          <w:tcPr>
            <w:tcW w:type="dxa" w:w="1728"/>
            <w:shd w:fill="FFFFFF"/>
            <w:tcMar>
              <w:top w:w="100" w:type="dxa"/>
              <w:bottom w:w="100" w:type="dxa"/>
              <w:left w:w="160" w:type="dxa"/>
              <w:right w:w="160" w:type="dxa"/>
            </w:tcMar>
          </w:tcPr>
          <w:p>
            <w:pPr>
              <w:jc w:val="left"/>
            </w:pPr>
            <w:r>
              <w:rPr>
                <w:rFonts w:ascii="Calibri" w:hAnsi="Calibri"/>
                <w:color w:val="1E293B"/>
                <w:sz w:val="19"/>
              </w:rPr>
              <w:t>User Credentials &amp; Passwords</w:t>
            </w:r>
          </w:p>
        </w:tc>
        <w:tc>
          <w:tcPr>
            <w:tcW w:type="dxa" w:w="1440"/>
            <w:shd w:fill="FFFFFF"/>
            <w:tcMar>
              <w:top w:w="100" w:type="dxa"/>
              <w:bottom w:w="100" w:type="dxa"/>
              <w:left w:w="160" w:type="dxa"/>
              <w:right w:w="160" w:type="dxa"/>
            </w:tcMar>
          </w:tcPr>
          <w:p>
            <w:pPr>
              <w:jc w:val="left"/>
            </w:pPr>
            <w:r>
              <w:rPr>
                <w:rFonts w:ascii="Calibri" w:hAnsi="Calibri"/>
                <w:color w:val="1E293B"/>
                <w:sz w:val="19"/>
              </w:rPr>
              <w:t>Identity &amp; Auth Data</w:t>
            </w:r>
          </w:p>
        </w:tc>
        <w:tc>
          <w:tcPr>
            <w:tcW w:type="dxa" w:w="1296"/>
            <w:shd w:fill="FFFFFF"/>
            <w:tcMar>
              <w:top w:w="100" w:type="dxa"/>
              <w:bottom w:w="100" w:type="dxa"/>
              <w:left w:w="160" w:type="dxa"/>
              <w:right w:w="160" w:type="dxa"/>
            </w:tcMar>
          </w:tcPr>
          <w:p>
            <w:pPr>
              <w:jc w:val="center"/>
            </w:pPr>
            <w:r>
              <w:rPr>
                <w:rFonts w:ascii="Calibri" w:hAnsi="Calibri"/>
                <w:color w:val="1E293B"/>
                <w:sz w:val="19"/>
              </w:rPr>
              <w:t>C: High</w:t>
              <w:br/>
              <w:t>I: High</w:t>
              <w:br/>
              <w:t>A: Med</w:t>
            </w:r>
          </w:p>
        </w:tc>
        <w:tc>
          <w:tcPr>
            <w:tcW w:type="dxa" w:w="1872"/>
            <w:shd w:fill="FFFFFF"/>
            <w:tcMar>
              <w:top w:w="100" w:type="dxa"/>
              <w:bottom w:w="100" w:type="dxa"/>
              <w:left w:w="160" w:type="dxa"/>
              <w:right w:w="160" w:type="dxa"/>
            </w:tcMar>
          </w:tcPr>
          <w:p>
            <w:pPr>
              <w:jc w:val="left"/>
            </w:pPr>
            <w:r>
              <w:rPr>
                <w:rFonts w:ascii="Calibri" w:hAnsi="Calibri"/>
                <w:color w:val="1E293B"/>
                <w:sz w:val="19"/>
              </w:rPr>
              <w:t>Credential stuffing, brute force dictionary attacks, unauthorized account takeover.</w:t>
            </w:r>
          </w:p>
        </w:tc>
        <w:tc>
          <w:tcPr>
            <w:tcW w:type="dxa" w:w="2016"/>
            <w:shd w:fill="FFFFFF"/>
            <w:tcMar>
              <w:top w:w="100" w:type="dxa"/>
              <w:bottom w:w="100" w:type="dxa"/>
              <w:left w:w="160" w:type="dxa"/>
              <w:right w:w="160" w:type="dxa"/>
            </w:tcMar>
          </w:tcPr>
          <w:p>
            <w:pPr>
              <w:jc w:val="left"/>
            </w:pPr>
            <w:r>
              <w:rPr>
                <w:rFonts w:ascii="Calibri" w:hAnsi="Calibri"/>
                <w:color w:val="1E293B"/>
                <w:sz w:val="19"/>
              </w:rPr>
              <w:t>bcrypt hashing with salt rounds &gt;= 10, strong password complexity enforcement, sliding window rate limiting.</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AST-02</w:t>
            </w:r>
          </w:p>
        </w:tc>
        <w:tc>
          <w:tcPr>
            <w:tcW w:type="dxa" w:w="1728"/>
            <w:shd w:fill="F8FAFC"/>
            <w:tcMar>
              <w:top w:w="100" w:type="dxa"/>
              <w:bottom w:w="100" w:type="dxa"/>
              <w:left w:w="160" w:type="dxa"/>
              <w:right w:w="160" w:type="dxa"/>
            </w:tcMar>
          </w:tcPr>
          <w:p>
            <w:pPr>
              <w:jc w:val="left"/>
            </w:pPr>
            <w:r>
              <w:rPr>
                <w:rFonts w:ascii="Calibri" w:hAnsi="Calibri"/>
                <w:color w:val="1E293B"/>
                <w:sz w:val="19"/>
              </w:rPr>
              <w:t>JWT Auth Tokens &amp; Signing Key</w:t>
            </w:r>
          </w:p>
        </w:tc>
        <w:tc>
          <w:tcPr>
            <w:tcW w:type="dxa" w:w="1440"/>
            <w:shd w:fill="F8FAFC"/>
            <w:tcMar>
              <w:top w:w="100" w:type="dxa"/>
              <w:bottom w:w="100" w:type="dxa"/>
              <w:left w:w="160" w:type="dxa"/>
              <w:right w:w="160" w:type="dxa"/>
            </w:tcMar>
          </w:tcPr>
          <w:p>
            <w:pPr>
              <w:jc w:val="left"/>
            </w:pPr>
            <w:r>
              <w:rPr>
                <w:rFonts w:ascii="Calibri" w:hAnsi="Calibri"/>
                <w:color w:val="1E293B"/>
                <w:sz w:val="19"/>
              </w:rPr>
              <w:t>Cryptographic Secrets</w:t>
            </w:r>
          </w:p>
        </w:tc>
        <w:tc>
          <w:tcPr>
            <w:tcW w:type="dxa" w:w="1296"/>
            <w:shd w:fill="F8FAFC"/>
            <w:tcMar>
              <w:top w:w="100" w:type="dxa"/>
              <w:bottom w:w="100" w:type="dxa"/>
              <w:left w:w="160" w:type="dxa"/>
              <w:right w:w="160" w:type="dxa"/>
            </w:tcMar>
          </w:tcPr>
          <w:p>
            <w:pPr>
              <w:jc w:val="center"/>
            </w:pPr>
            <w:r>
              <w:rPr>
                <w:rFonts w:ascii="Calibri" w:hAnsi="Calibri"/>
                <w:color w:val="1E293B"/>
                <w:sz w:val="19"/>
              </w:rPr>
              <w:t>C: Critical</w:t>
              <w:br/>
              <w:t>I: Critical</w:t>
              <w:br/>
              <w:t>A: High</w:t>
            </w:r>
          </w:p>
        </w:tc>
        <w:tc>
          <w:tcPr>
            <w:tcW w:type="dxa" w:w="1872"/>
            <w:shd w:fill="F8FAFC"/>
            <w:tcMar>
              <w:top w:w="100" w:type="dxa"/>
              <w:bottom w:w="100" w:type="dxa"/>
              <w:left w:w="160" w:type="dxa"/>
              <w:right w:w="160" w:type="dxa"/>
            </w:tcMar>
          </w:tcPr>
          <w:p>
            <w:pPr>
              <w:jc w:val="left"/>
            </w:pPr>
            <w:r>
              <w:rPr>
                <w:rFonts w:ascii="Calibri" w:hAnsi="Calibri"/>
                <w:color w:val="1E293B"/>
                <w:sz w:val="19"/>
              </w:rPr>
              <w:t>Key leakage, signature forgery, token replay, algorithm downgrade attacks.</w:t>
            </w:r>
          </w:p>
        </w:tc>
        <w:tc>
          <w:tcPr>
            <w:tcW w:type="dxa" w:w="2016"/>
            <w:shd w:fill="F8FAFC"/>
            <w:tcMar>
              <w:top w:w="100" w:type="dxa"/>
              <w:bottom w:w="100" w:type="dxa"/>
              <w:left w:w="160" w:type="dxa"/>
              <w:right w:w="160" w:type="dxa"/>
            </w:tcMar>
          </w:tcPr>
          <w:p>
            <w:pPr>
              <w:jc w:val="left"/>
            </w:pPr>
            <w:r>
              <w:rPr>
                <w:rFonts w:ascii="Calibri" w:hAnsi="Calibri"/>
                <w:color w:val="1E293B"/>
                <w:sz w:val="19"/>
              </w:rPr>
              <w:t>HMAC-SHA256 signing with 256-bit environment secret, 24-hour expiration, no algorithm 'none' permitted.</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AST-03</w:t>
            </w:r>
          </w:p>
        </w:tc>
        <w:tc>
          <w:tcPr>
            <w:tcW w:type="dxa" w:w="1728"/>
            <w:shd w:fill="FFFFFF"/>
            <w:tcMar>
              <w:top w:w="100" w:type="dxa"/>
              <w:bottom w:w="100" w:type="dxa"/>
              <w:left w:w="160" w:type="dxa"/>
              <w:right w:w="160" w:type="dxa"/>
            </w:tcMar>
          </w:tcPr>
          <w:p>
            <w:pPr>
              <w:jc w:val="left"/>
            </w:pPr>
            <w:r>
              <w:rPr>
                <w:rFonts w:ascii="Calibri" w:hAnsi="Calibri"/>
                <w:color w:val="1E293B"/>
                <w:sz w:val="19"/>
              </w:rPr>
              <w:t>Trip Metadata &amp; Privacy Flags</w:t>
            </w:r>
          </w:p>
        </w:tc>
        <w:tc>
          <w:tcPr>
            <w:tcW w:type="dxa" w:w="1440"/>
            <w:shd w:fill="FFFFFF"/>
            <w:tcMar>
              <w:top w:w="100" w:type="dxa"/>
              <w:bottom w:w="100" w:type="dxa"/>
              <w:left w:w="160" w:type="dxa"/>
              <w:right w:w="160" w:type="dxa"/>
            </w:tcMar>
          </w:tcPr>
          <w:p>
            <w:pPr>
              <w:jc w:val="left"/>
            </w:pPr>
            <w:r>
              <w:rPr>
                <w:rFonts w:ascii="Calibri" w:hAnsi="Calibri"/>
                <w:color w:val="1E293B"/>
                <w:sz w:val="19"/>
              </w:rPr>
              <w:t>User Application Data</w:t>
            </w:r>
          </w:p>
        </w:tc>
        <w:tc>
          <w:tcPr>
            <w:tcW w:type="dxa" w:w="1296"/>
            <w:shd w:fill="FFFFFF"/>
            <w:tcMar>
              <w:top w:w="100" w:type="dxa"/>
              <w:bottom w:w="100" w:type="dxa"/>
              <w:left w:w="160" w:type="dxa"/>
              <w:right w:w="160" w:type="dxa"/>
            </w:tcMar>
          </w:tcPr>
          <w:p>
            <w:pPr>
              <w:jc w:val="center"/>
            </w:pPr>
            <w:r>
              <w:rPr>
                <w:rFonts w:ascii="Calibri" w:hAnsi="Calibri"/>
                <w:color w:val="1E293B"/>
                <w:sz w:val="19"/>
              </w:rPr>
              <w:t>C: High</w:t>
              <w:br/>
              <w:t>I: High</w:t>
              <w:br/>
              <w:t>A: High</w:t>
            </w:r>
          </w:p>
        </w:tc>
        <w:tc>
          <w:tcPr>
            <w:tcW w:type="dxa" w:w="1872"/>
            <w:shd w:fill="FFFFFF"/>
            <w:tcMar>
              <w:top w:w="100" w:type="dxa"/>
              <w:bottom w:w="100" w:type="dxa"/>
              <w:left w:w="160" w:type="dxa"/>
              <w:right w:w="160" w:type="dxa"/>
            </w:tcMar>
          </w:tcPr>
          <w:p>
            <w:pPr>
              <w:jc w:val="left"/>
            </w:pPr>
            <w:r>
              <w:rPr>
                <w:rFonts w:ascii="Calibri" w:hAnsi="Calibri"/>
                <w:color w:val="1E293B"/>
                <w:sz w:val="19"/>
              </w:rPr>
              <w:t>Broken Object Level Authorization (BOLA), unauthorized public discovery of private vacations.</w:t>
            </w:r>
          </w:p>
        </w:tc>
        <w:tc>
          <w:tcPr>
            <w:tcW w:type="dxa" w:w="2016"/>
            <w:shd w:fill="FFFFFF"/>
            <w:tcMar>
              <w:top w:w="100" w:type="dxa"/>
              <w:bottom w:w="100" w:type="dxa"/>
              <w:left w:w="160" w:type="dxa"/>
              <w:right w:w="160" w:type="dxa"/>
            </w:tcMar>
          </w:tcPr>
          <w:p>
            <w:pPr>
              <w:jc w:val="left"/>
            </w:pPr>
            <w:r>
              <w:rPr>
                <w:rFonts w:ascii="Calibri" w:hAnsi="Calibri"/>
                <w:color w:val="1E293B"/>
                <w:sz w:val="19"/>
              </w:rPr>
              <w:t>Strict trip-level access control middleware checking user authorization against collaborator table before query execution.</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AST-04</w:t>
            </w:r>
          </w:p>
        </w:tc>
        <w:tc>
          <w:tcPr>
            <w:tcW w:type="dxa" w:w="1728"/>
            <w:shd w:fill="F8FAFC"/>
            <w:tcMar>
              <w:top w:w="100" w:type="dxa"/>
              <w:bottom w:w="100" w:type="dxa"/>
              <w:left w:w="160" w:type="dxa"/>
              <w:right w:w="160" w:type="dxa"/>
            </w:tcMar>
          </w:tcPr>
          <w:p>
            <w:pPr>
              <w:jc w:val="left"/>
            </w:pPr>
            <w:r>
              <w:rPr>
                <w:rFonts w:ascii="Calibri" w:hAnsi="Calibri"/>
                <w:color w:val="1E293B"/>
                <w:sz w:val="19"/>
              </w:rPr>
              <w:t>Destination &amp; Geolocation Trajectories</w:t>
            </w:r>
          </w:p>
        </w:tc>
        <w:tc>
          <w:tcPr>
            <w:tcW w:type="dxa" w:w="1440"/>
            <w:shd w:fill="F8FAFC"/>
            <w:tcMar>
              <w:top w:w="100" w:type="dxa"/>
              <w:bottom w:w="100" w:type="dxa"/>
              <w:left w:w="160" w:type="dxa"/>
              <w:right w:w="160" w:type="dxa"/>
            </w:tcMar>
          </w:tcPr>
          <w:p>
            <w:pPr>
              <w:jc w:val="left"/>
            </w:pPr>
            <w:r>
              <w:rPr>
                <w:rFonts w:ascii="Calibri" w:hAnsi="Calibri"/>
                <w:color w:val="1E293B"/>
                <w:sz w:val="19"/>
              </w:rPr>
              <w:t>Location &amp; PII Data</w:t>
            </w:r>
          </w:p>
        </w:tc>
        <w:tc>
          <w:tcPr>
            <w:tcW w:type="dxa" w:w="1296"/>
            <w:shd w:fill="F8FAFC"/>
            <w:tcMar>
              <w:top w:w="100" w:type="dxa"/>
              <w:bottom w:w="100" w:type="dxa"/>
              <w:left w:w="160" w:type="dxa"/>
              <w:right w:w="160" w:type="dxa"/>
            </w:tcMar>
          </w:tcPr>
          <w:p>
            <w:pPr>
              <w:jc w:val="center"/>
            </w:pPr>
            <w:r>
              <w:rPr>
                <w:rFonts w:ascii="Calibri" w:hAnsi="Calibri"/>
                <w:color w:val="1E293B"/>
                <w:sz w:val="19"/>
              </w:rPr>
              <w:t>C: High</w:t>
              <w:br/>
              <w:t>I: Med</w:t>
              <w:br/>
              <w:t>A: Med</w:t>
            </w:r>
          </w:p>
        </w:tc>
        <w:tc>
          <w:tcPr>
            <w:tcW w:type="dxa" w:w="1872"/>
            <w:shd w:fill="F8FAFC"/>
            <w:tcMar>
              <w:top w:w="100" w:type="dxa"/>
              <w:bottom w:w="100" w:type="dxa"/>
              <w:left w:w="160" w:type="dxa"/>
              <w:right w:w="160" w:type="dxa"/>
            </w:tcMar>
          </w:tcPr>
          <w:p>
            <w:pPr>
              <w:jc w:val="left"/>
            </w:pPr>
            <w:r>
              <w:rPr>
                <w:rFonts w:ascii="Calibri" w:hAnsi="Calibri"/>
                <w:color w:val="1E293B"/>
                <w:sz w:val="19"/>
              </w:rPr>
              <w:t>Tracking user travel itineraries, physical security compromise of traveling participants.</w:t>
            </w:r>
          </w:p>
        </w:tc>
        <w:tc>
          <w:tcPr>
            <w:tcW w:type="dxa" w:w="2016"/>
            <w:shd w:fill="F8FAFC"/>
            <w:tcMar>
              <w:top w:w="100" w:type="dxa"/>
              <w:bottom w:w="100" w:type="dxa"/>
              <w:left w:w="160" w:type="dxa"/>
              <w:right w:w="160" w:type="dxa"/>
            </w:tcMar>
          </w:tcPr>
          <w:p>
            <w:pPr>
              <w:jc w:val="left"/>
            </w:pPr>
            <w:r>
              <w:rPr>
                <w:rFonts w:ascii="Calibri" w:hAnsi="Calibri"/>
                <w:color w:val="1E293B"/>
                <w:sz w:val="19"/>
              </w:rPr>
              <w:t>Private visibility restrictions, encrypted transport via TLS 1.3, strict RBAC authorization.</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AST-05</w:t>
            </w:r>
          </w:p>
        </w:tc>
        <w:tc>
          <w:tcPr>
            <w:tcW w:type="dxa" w:w="1728"/>
            <w:shd w:fill="FFFFFF"/>
            <w:tcMar>
              <w:top w:w="100" w:type="dxa"/>
              <w:bottom w:w="100" w:type="dxa"/>
              <w:left w:w="160" w:type="dxa"/>
              <w:right w:w="160" w:type="dxa"/>
            </w:tcMar>
          </w:tcPr>
          <w:p>
            <w:pPr>
              <w:jc w:val="left"/>
            </w:pPr>
            <w:r>
              <w:rPr>
                <w:rFonts w:ascii="Calibri" w:hAnsi="Calibri"/>
                <w:color w:val="1E293B"/>
                <w:sz w:val="19"/>
              </w:rPr>
              <w:t>Itinerary Task Schedules &amp; Assignees</w:t>
            </w:r>
          </w:p>
        </w:tc>
        <w:tc>
          <w:tcPr>
            <w:tcW w:type="dxa" w:w="1440"/>
            <w:shd w:fill="FFFFFF"/>
            <w:tcMar>
              <w:top w:w="100" w:type="dxa"/>
              <w:bottom w:w="100" w:type="dxa"/>
              <w:left w:w="160" w:type="dxa"/>
              <w:right w:w="160" w:type="dxa"/>
            </w:tcMar>
          </w:tcPr>
          <w:p>
            <w:pPr>
              <w:jc w:val="left"/>
            </w:pPr>
            <w:r>
              <w:rPr>
                <w:rFonts w:ascii="Calibri" w:hAnsi="Calibri"/>
                <w:color w:val="1E293B"/>
                <w:sz w:val="19"/>
              </w:rPr>
              <w:t>Operational Plans</w:t>
            </w:r>
          </w:p>
        </w:tc>
        <w:tc>
          <w:tcPr>
            <w:tcW w:type="dxa" w:w="1296"/>
            <w:shd w:fill="FFFFFF"/>
            <w:tcMar>
              <w:top w:w="100" w:type="dxa"/>
              <w:bottom w:w="100" w:type="dxa"/>
              <w:left w:w="160" w:type="dxa"/>
              <w:right w:w="160" w:type="dxa"/>
            </w:tcMar>
          </w:tcPr>
          <w:p>
            <w:pPr>
              <w:jc w:val="center"/>
            </w:pPr>
            <w:r>
              <w:rPr>
                <w:rFonts w:ascii="Calibri" w:hAnsi="Calibri"/>
                <w:color w:val="1E293B"/>
                <w:sz w:val="19"/>
              </w:rPr>
              <w:t>C: Med</w:t>
              <w:br/>
              <w:t>I: High</w:t>
              <w:br/>
              <w:t>A: Med</w:t>
            </w:r>
          </w:p>
        </w:tc>
        <w:tc>
          <w:tcPr>
            <w:tcW w:type="dxa" w:w="1872"/>
            <w:shd w:fill="FFFFFF"/>
            <w:tcMar>
              <w:top w:w="100" w:type="dxa"/>
              <w:bottom w:w="100" w:type="dxa"/>
              <w:left w:w="160" w:type="dxa"/>
              <w:right w:w="160" w:type="dxa"/>
            </w:tcMar>
          </w:tcPr>
          <w:p>
            <w:pPr>
              <w:jc w:val="left"/>
            </w:pPr>
            <w:r>
              <w:rPr>
                <w:rFonts w:ascii="Calibri" w:hAnsi="Calibri"/>
                <w:color w:val="1E293B"/>
                <w:sz w:val="19"/>
              </w:rPr>
              <w:t>Unauthorized alteration of travel bookings, task sabotage by rogue editors.</w:t>
            </w:r>
          </w:p>
        </w:tc>
        <w:tc>
          <w:tcPr>
            <w:tcW w:type="dxa" w:w="2016"/>
            <w:shd w:fill="FFFFFF"/>
            <w:tcMar>
              <w:top w:w="100" w:type="dxa"/>
              <w:bottom w:w="100" w:type="dxa"/>
              <w:left w:w="160" w:type="dxa"/>
              <w:right w:w="160" w:type="dxa"/>
            </w:tcMar>
          </w:tcPr>
          <w:p>
            <w:pPr>
              <w:jc w:val="left"/>
            </w:pPr>
            <w:r>
              <w:rPr>
                <w:rFonts w:ascii="Calibri" w:hAnsi="Calibri"/>
                <w:color w:val="1E293B"/>
                <w:sz w:val="19"/>
              </w:rPr>
              <w:t>Role enforcement (Owner/Editor only), activity audit logging, atomic state validation.</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AST-06</w:t>
            </w:r>
          </w:p>
        </w:tc>
        <w:tc>
          <w:tcPr>
            <w:tcW w:type="dxa" w:w="1728"/>
            <w:shd w:fill="F8FAFC"/>
            <w:tcMar>
              <w:top w:w="100" w:type="dxa"/>
              <w:bottom w:w="100" w:type="dxa"/>
              <w:left w:w="160" w:type="dxa"/>
              <w:right w:w="160" w:type="dxa"/>
            </w:tcMar>
          </w:tcPr>
          <w:p>
            <w:pPr>
              <w:jc w:val="left"/>
            </w:pPr>
            <w:r>
              <w:rPr>
                <w:rFonts w:ascii="Calibri" w:hAnsi="Calibri"/>
                <w:color w:val="1E293B"/>
                <w:sz w:val="19"/>
              </w:rPr>
              <w:t>Financial Expense Records &amp; Split Debts</w:t>
            </w:r>
          </w:p>
        </w:tc>
        <w:tc>
          <w:tcPr>
            <w:tcW w:type="dxa" w:w="1440"/>
            <w:shd w:fill="F8FAFC"/>
            <w:tcMar>
              <w:top w:w="100" w:type="dxa"/>
              <w:bottom w:w="100" w:type="dxa"/>
              <w:left w:w="160" w:type="dxa"/>
              <w:right w:w="160" w:type="dxa"/>
            </w:tcMar>
          </w:tcPr>
          <w:p>
            <w:pPr>
              <w:jc w:val="left"/>
            </w:pPr>
            <w:r>
              <w:rPr>
                <w:rFonts w:ascii="Calibri" w:hAnsi="Calibri"/>
                <w:color w:val="1E293B"/>
                <w:sz w:val="19"/>
              </w:rPr>
              <w:t>Financial Ledger</w:t>
            </w:r>
          </w:p>
        </w:tc>
        <w:tc>
          <w:tcPr>
            <w:tcW w:type="dxa" w:w="1296"/>
            <w:shd w:fill="F8FAFC"/>
            <w:tcMar>
              <w:top w:w="100" w:type="dxa"/>
              <w:bottom w:w="100" w:type="dxa"/>
              <w:left w:w="160" w:type="dxa"/>
              <w:right w:w="160" w:type="dxa"/>
            </w:tcMar>
          </w:tcPr>
          <w:p>
            <w:pPr>
              <w:jc w:val="center"/>
            </w:pPr>
            <w:r>
              <w:rPr>
                <w:rFonts w:ascii="Calibri" w:hAnsi="Calibri"/>
                <w:color w:val="1E293B"/>
                <w:sz w:val="19"/>
              </w:rPr>
              <w:t>C: High</w:t>
              <w:br/>
              <w:t>I: Critical</w:t>
              <w:br/>
              <w:t>A: High</w:t>
            </w:r>
          </w:p>
        </w:tc>
        <w:tc>
          <w:tcPr>
            <w:tcW w:type="dxa" w:w="1872"/>
            <w:shd w:fill="F8FAFC"/>
            <w:tcMar>
              <w:top w:w="100" w:type="dxa"/>
              <w:bottom w:w="100" w:type="dxa"/>
              <w:left w:w="160" w:type="dxa"/>
              <w:right w:w="160" w:type="dxa"/>
            </w:tcMar>
          </w:tcPr>
          <w:p>
            <w:pPr>
              <w:jc w:val="left"/>
            </w:pPr>
            <w:r>
              <w:rPr>
                <w:rFonts w:ascii="Calibri" w:hAnsi="Calibri"/>
                <w:color w:val="1E293B"/>
                <w:sz w:val="19"/>
              </w:rPr>
              <w:t>Fraudulent expense insertion, tamper with debt calculation algorithm, circular credit loops.</w:t>
            </w:r>
          </w:p>
        </w:tc>
        <w:tc>
          <w:tcPr>
            <w:tcW w:type="dxa" w:w="2016"/>
            <w:shd w:fill="F8FAFC"/>
            <w:tcMar>
              <w:top w:w="100" w:type="dxa"/>
              <w:bottom w:w="100" w:type="dxa"/>
              <w:left w:w="160" w:type="dxa"/>
              <w:right w:w="160" w:type="dxa"/>
            </w:tcMar>
          </w:tcPr>
          <w:p>
            <w:pPr>
              <w:jc w:val="left"/>
            </w:pPr>
            <w:r>
              <w:rPr>
                <w:rFonts w:ascii="Calibri" w:hAnsi="Calibri"/>
                <w:color w:val="1E293B"/>
                <w:sz w:val="19"/>
              </w:rPr>
              <w:t>Zero-sum mathematical verification, immutable expense author logging, greedy debt calculation engine.</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AST-07</w:t>
            </w:r>
          </w:p>
        </w:tc>
        <w:tc>
          <w:tcPr>
            <w:tcW w:type="dxa" w:w="1728"/>
            <w:shd w:fill="FFFFFF"/>
            <w:tcMar>
              <w:top w:w="100" w:type="dxa"/>
              <w:bottom w:w="100" w:type="dxa"/>
              <w:left w:w="160" w:type="dxa"/>
              <w:right w:w="160" w:type="dxa"/>
            </w:tcMar>
          </w:tcPr>
          <w:p>
            <w:pPr>
              <w:jc w:val="left"/>
            </w:pPr>
            <w:r>
              <w:rPr>
                <w:rFonts w:ascii="Calibri" w:hAnsi="Calibri"/>
                <w:color w:val="1E293B"/>
                <w:sz w:val="19"/>
              </w:rPr>
              <w:t>Collaborator Privilege Mappings</w:t>
            </w:r>
          </w:p>
        </w:tc>
        <w:tc>
          <w:tcPr>
            <w:tcW w:type="dxa" w:w="1440"/>
            <w:shd w:fill="FFFFFF"/>
            <w:tcMar>
              <w:top w:w="100" w:type="dxa"/>
              <w:bottom w:w="100" w:type="dxa"/>
              <w:left w:w="160" w:type="dxa"/>
              <w:right w:w="160" w:type="dxa"/>
            </w:tcMar>
          </w:tcPr>
          <w:p>
            <w:pPr>
              <w:jc w:val="left"/>
            </w:pPr>
            <w:r>
              <w:rPr>
                <w:rFonts w:ascii="Calibri" w:hAnsi="Calibri"/>
                <w:color w:val="1E293B"/>
                <w:sz w:val="19"/>
              </w:rPr>
              <w:t>Authorization Policy</w:t>
            </w:r>
          </w:p>
        </w:tc>
        <w:tc>
          <w:tcPr>
            <w:tcW w:type="dxa" w:w="1296"/>
            <w:shd w:fill="FFFFFF"/>
            <w:tcMar>
              <w:top w:w="100" w:type="dxa"/>
              <w:bottom w:w="100" w:type="dxa"/>
              <w:left w:w="160" w:type="dxa"/>
              <w:right w:w="160" w:type="dxa"/>
            </w:tcMar>
          </w:tcPr>
          <w:p>
            <w:pPr>
              <w:jc w:val="center"/>
            </w:pPr>
            <w:r>
              <w:rPr>
                <w:rFonts w:ascii="Calibri" w:hAnsi="Calibri"/>
                <w:color w:val="1E293B"/>
                <w:sz w:val="19"/>
              </w:rPr>
              <w:t>C: High</w:t>
              <w:br/>
              <w:t>I: Critical</w:t>
              <w:br/>
              <w:t>A: High</w:t>
            </w:r>
          </w:p>
        </w:tc>
        <w:tc>
          <w:tcPr>
            <w:tcW w:type="dxa" w:w="1872"/>
            <w:shd w:fill="FFFFFF"/>
            <w:tcMar>
              <w:top w:w="100" w:type="dxa"/>
              <w:bottom w:w="100" w:type="dxa"/>
              <w:left w:w="160" w:type="dxa"/>
              <w:right w:w="160" w:type="dxa"/>
            </w:tcMar>
          </w:tcPr>
          <w:p>
            <w:pPr>
              <w:jc w:val="left"/>
            </w:pPr>
            <w:r>
              <w:rPr>
                <w:rFonts w:ascii="Calibri" w:hAnsi="Calibri"/>
                <w:color w:val="1E293B"/>
                <w:sz w:val="19"/>
              </w:rPr>
              <w:t>Privilege escalation, unauthorized self-promotion from Viewer to Owner.</w:t>
            </w:r>
          </w:p>
        </w:tc>
        <w:tc>
          <w:tcPr>
            <w:tcW w:type="dxa" w:w="2016"/>
            <w:shd w:fill="FFFFFF"/>
            <w:tcMar>
              <w:top w:w="100" w:type="dxa"/>
              <w:bottom w:w="100" w:type="dxa"/>
              <w:left w:w="160" w:type="dxa"/>
              <w:right w:w="160" w:type="dxa"/>
            </w:tcMar>
          </w:tcPr>
          <w:p>
            <w:pPr>
              <w:jc w:val="left"/>
            </w:pPr>
            <w:r>
              <w:rPr>
                <w:rFonts w:ascii="Calibri" w:hAnsi="Calibri"/>
                <w:color w:val="1E293B"/>
                <w:sz w:val="19"/>
              </w:rPr>
              <w:t>Owner-only role modification logic; Owner cannot demote self without explicit ownership transfer.</w:t>
            </w:r>
          </w:p>
        </w:tc>
      </w:tr>
      <w:tr>
        <w:tc>
          <w:tcPr>
            <w:tcW w:type="dxa" w:w="1008"/>
            <w:shd w:fill="F8FAFC"/>
            <w:tcMar>
              <w:top w:w="100" w:type="dxa"/>
              <w:bottom w:w="100" w:type="dxa"/>
              <w:left w:w="160" w:type="dxa"/>
              <w:right w:w="160" w:type="dxa"/>
            </w:tcMar>
          </w:tcPr>
          <w:p>
            <w:pPr>
              <w:jc w:val="center"/>
            </w:pPr>
            <w:r>
              <w:rPr>
                <w:rFonts w:ascii="Calibri" w:hAnsi="Calibri"/>
                <w:color w:val="1E293B"/>
                <w:sz w:val="19"/>
              </w:rPr>
              <w:t>AST-08</w:t>
            </w:r>
          </w:p>
        </w:tc>
        <w:tc>
          <w:tcPr>
            <w:tcW w:type="dxa" w:w="1728"/>
            <w:shd w:fill="F8FAFC"/>
            <w:tcMar>
              <w:top w:w="100" w:type="dxa"/>
              <w:bottom w:w="100" w:type="dxa"/>
              <w:left w:w="160" w:type="dxa"/>
              <w:right w:w="160" w:type="dxa"/>
            </w:tcMar>
          </w:tcPr>
          <w:p>
            <w:pPr>
              <w:jc w:val="left"/>
            </w:pPr>
            <w:r>
              <w:rPr>
                <w:rFonts w:ascii="Calibri" w:hAnsi="Calibri"/>
                <w:color w:val="1E293B"/>
                <w:sz w:val="19"/>
              </w:rPr>
              <w:t>Tamper-Evident Security Audit Logs</w:t>
            </w:r>
          </w:p>
        </w:tc>
        <w:tc>
          <w:tcPr>
            <w:tcW w:type="dxa" w:w="1440"/>
            <w:shd w:fill="F8FAFC"/>
            <w:tcMar>
              <w:top w:w="100" w:type="dxa"/>
              <w:bottom w:w="100" w:type="dxa"/>
              <w:left w:w="160" w:type="dxa"/>
              <w:right w:w="160" w:type="dxa"/>
            </w:tcMar>
          </w:tcPr>
          <w:p>
            <w:pPr>
              <w:jc w:val="left"/>
            </w:pPr>
            <w:r>
              <w:rPr>
                <w:rFonts w:ascii="Calibri" w:hAnsi="Calibri"/>
                <w:color w:val="1E293B"/>
                <w:sz w:val="19"/>
              </w:rPr>
              <w:t>Compliance &amp; Forensics</w:t>
            </w:r>
          </w:p>
        </w:tc>
        <w:tc>
          <w:tcPr>
            <w:tcW w:type="dxa" w:w="1296"/>
            <w:shd w:fill="F8FAFC"/>
            <w:tcMar>
              <w:top w:w="100" w:type="dxa"/>
              <w:bottom w:w="100" w:type="dxa"/>
              <w:left w:w="160" w:type="dxa"/>
              <w:right w:w="160" w:type="dxa"/>
            </w:tcMar>
          </w:tcPr>
          <w:p>
            <w:pPr>
              <w:jc w:val="center"/>
            </w:pPr>
            <w:r>
              <w:rPr>
                <w:rFonts w:ascii="Calibri" w:hAnsi="Calibri"/>
                <w:color w:val="1E293B"/>
                <w:sz w:val="19"/>
              </w:rPr>
              <w:t>C: Med</w:t>
              <w:br/>
              <w:t>I: Critical</w:t>
              <w:br/>
              <w:t>A: High</w:t>
            </w:r>
          </w:p>
        </w:tc>
        <w:tc>
          <w:tcPr>
            <w:tcW w:type="dxa" w:w="1872"/>
            <w:shd w:fill="F8FAFC"/>
            <w:tcMar>
              <w:top w:w="100" w:type="dxa"/>
              <w:bottom w:w="100" w:type="dxa"/>
              <w:left w:w="160" w:type="dxa"/>
              <w:right w:w="160" w:type="dxa"/>
            </w:tcMar>
          </w:tcPr>
          <w:p>
            <w:pPr>
              <w:jc w:val="left"/>
            </w:pPr>
            <w:r>
              <w:rPr>
                <w:rFonts w:ascii="Calibri" w:hAnsi="Calibri"/>
                <w:color w:val="1E293B"/>
                <w:sz w:val="19"/>
              </w:rPr>
              <w:t>Log deletion by attacker to cover malicious tracks, log injection / spoofing.</w:t>
            </w:r>
          </w:p>
        </w:tc>
        <w:tc>
          <w:tcPr>
            <w:tcW w:type="dxa" w:w="2016"/>
            <w:shd w:fill="F8FAFC"/>
            <w:tcMar>
              <w:top w:w="100" w:type="dxa"/>
              <w:bottom w:w="100" w:type="dxa"/>
              <w:left w:w="160" w:type="dxa"/>
              <w:right w:w="160" w:type="dxa"/>
            </w:tcMar>
          </w:tcPr>
          <w:p>
            <w:pPr>
              <w:jc w:val="left"/>
            </w:pPr>
            <w:r>
              <w:rPr>
                <w:rFonts w:ascii="Calibri" w:hAnsi="Calibri"/>
                <w:color w:val="1E293B"/>
                <w:sz w:val="19"/>
              </w:rPr>
              <w:t>Append-only storage structure, timestamping, comprehensive capturing of actor, IP, action, and result.</w:t>
            </w:r>
          </w:p>
        </w:tc>
      </w:tr>
      <w:tr>
        <w:tc>
          <w:tcPr>
            <w:tcW w:type="dxa" w:w="1008"/>
            <w:shd w:fill="FFFFFF"/>
            <w:tcMar>
              <w:top w:w="100" w:type="dxa"/>
              <w:bottom w:w="100" w:type="dxa"/>
              <w:left w:w="160" w:type="dxa"/>
              <w:right w:w="160" w:type="dxa"/>
            </w:tcMar>
          </w:tcPr>
          <w:p>
            <w:pPr>
              <w:jc w:val="center"/>
            </w:pPr>
            <w:r>
              <w:rPr>
                <w:rFonts w:ascii="Calibri" w:hAnsi="Calibri"/>
                <w:color w:val="1E293B"/>
                <w:sz w:val="19"/>
              </w:rPr>
              <w:t>AST-09</w:t>
            </w:r>
          </w:p>
        </w:tc>
        <w:tc>
          <w:tcPr>
            <w:tcW w:type="dxa" w:w="1728"/>
            <w:shd w:fill="FFFFFF"/>
            <w:tcMar>
              <w:top w:w="100" w:type="dxa"/>
              <w:bottom w:w="100" w:type="dxa"/>
              <w:left w:w="160" w:type="dxa"/>
              <w:right w:w="160" w:type="dxa"/>
            </w:tcMar>
          </w:tcPr>
          <w:p>
            <w:pPr>
              <w:jc w:val="left"/>
            </w:pPr>
            <w:r>
              <w:rPr>
                <w:rFonts w:ascii="Calibri" w:hAnsi="Calibri"/>
                <w:color w:val="1E293B"/>
                <w:sz w:val="19"/>
              </w:rPr>
              <w:t>CI/CD &amp; Deployment Credentials</w:t>
            </w:r>
          </w:p>
        </w:tc>
        <w:tc>
          <w:tcPr>
            <w:tcW w:type="dxa" w:w="1440"/>
            <w:shd w:fill="FFFFFF"/>
            <w:tcMar>
              <w:top w:w="100" w:type="dxa"/>
              <w:bottom w:w="100" w:type="dxa"/>
              <w:left w:w="160" w:type="dxa"/>
              <w:right w:w="160" w:type="dxa"/>
            </w:tcMar>
          </w:tcPr>
          <w:p>
            <w:pPr>
              <w:jc w:val="left"/>
            </w:pPr>
            <w:r>
              <w:rPr>
                <w:rFonts w:ascii="Calibri" w:hAnsi="Calibri"/>
                <w:color w:val="1E293B"/>
                <w:sz w:val="19"/>
              </w:rPr>
              <w:t>Infrastructure Secrets</w:t>
            </w:r>
          </w:p>
        </w:tc>
        <w:tc>
          <w:tcPr>
            <w:tcW w:type="dxa" w:w="1296"/>
            <w:shd w:fill="FFFFFF"/>
            <w:tcMar>
              <w:top w:w="100" w:type="dxa"/>
              <w:bottom w:w="100" w:type="dxa"/>
              <w:left w:w="160" w:type="dxa"/>
              <w:right w:w="160" w:type="dxa"/>
            </w:tcMar>
          </w:tcPr>
          <w:p>
            <w:pPr>
              <w:jc w:val="center"/>
            </w:pPr>
            <w:r>
              <w:rPr>
                <w:rFonts w:ascii="Calibri" w:hAnsi="Calibri"/>
                <w:color w:val="1E293B"/>
                <w:sz w:val="19"/>
              </w:rPr>
              <w:t>C: Critical</w:t>
              <w:br/>
              <w:t>I: Critical</w:t>
              <w:br/>
              <w:t>A: Critical</w:t>
            </w:r>
          </w:p>
        </w:tc>
        <w:tc>
          <w:tcPr>
            <w:tcW w:type="dxa" w:w="1872"/>
            <w:shd w:fill="FFFFFF"/>
            <w:tcMar>
              <w:top w:w="100" w:type="dxa"/>
              <w:bottom w:w="100" w:type="dxa"/>
              <w:left w:w="160" w:type="dxa"/>
              <w:right w:w="160" w:type="dxa"/>
            </w:tcMar>
          </w:tcPr>
          <w:p>
            <w:pPr>
              <w:jc w:val="left"/>
            </w:pPr>
            <w:r>
              <w:rPr>
                <w:rFonts w:ascii="Calibri" w:hAnsi="Calibri"/>
                <w:color w:val="1E293B"/>
                <w:sz w:val="19"/>
              </w:rPr>
              <w:t>Supply chain poisoning, production deployment hijacking, container repository breach.</w:t>
            </w:r>
          </w:p>
        </w:tc>
        <w:tc>
          <w:tcPr>
            <w:tcW w:type="dxa" w:w="2016"/>
            <w:shd w:fill="FFFFFF"/>
            <w:tcMar>
              <w:top w:w="100" w:type="dxa"/>
              <w:bottom w:w="100" w:type="dxa"/>
              <w:left w:w="160" w:type="dxa"/>
              <w:right w:w="160" w:type="dxa"/>
            </w:tcMar>
          </w:tcPr>
          <w:p>
            <w:pPr>
              <w:jc w:val="left"/>
            </w:pPr>
            <w:r>
              <w:rPr>
                <w:rFonts w:ascii="Calibri" w:hAnsi="Calibri"/>
                <w:color w:val="1E293B"/>
                <w:sz w:val="19"/>
              </w:rPr>
              <w:t>External secret storage, zero credentials committed to Git, automated SAST and Trufflehog scanning.</w:t>
            </w:r>
          </w:p>
        </w:tc>
      </w:tr>
    </w:tbl>
    <w:p>
      <w:pPr>
        <w:keepNext/>
        <w:spacing w:before="240" w:after="80"/>
      </w:pPr>
      <w:r>
        <w:rPr>
          <w:rFonts w:ascii="Calibri" w:hAnsi="Calibri"/>
          <w:b/>
          <w:color w:val="2563EB"/>
          <w:sz w:val="26"/>
        </w:rPr>
        <w:t>6.2 Threat Modeling &amp; Security Controls</w:t>
      </w:r>
    </w:p>
    <w:p>
      <w:pPr>
        <w:pStyle w:val="ListBullet"/>
        <w:spacing w:before="0" w:after="60" w:line="276" w:lineRule="auto"/>
      </w:pPr>
      <w:r>
        <w:rPr>
          <w:rFonts w:ascii="Calibri" w:hAnsi="Calibri"/>
          <w:b/>
          <w:color w:val="0F172A"/>
          <w:sz w:val="20"/>
        </w:rPr>
        <w:t xml:space="preserve">Broken Object Level Authorization (BOLA / IDOR): </w:t>
      </w:r>
      <w:r>
        <w:rPr>
          <w:rFonts w:ascii="Calibri" w:hAnsi="Calibri"/>
          <w:color w:val="334155"/>
          <w:sz w:val="20"/>
        </w:rPr>
        <w:t>Every endpoint containing a trip parameter (/api/trips/:tripId/...) performs a pre-flight database lookup validating that the requesting JWT user ID is an authorized collaborator. Uninvited actors receive HTTP 403 Forbidden.</w:t>
      </w:r>
    </w:p>
    <w:p>
      <w:pPr>
        <w:pStyle w:val="ListBullet"/>
        <w:spacing w:before="0" w:after="60" w:line="276" w:lineRule="auto"/>
      </w:pPr>
      <w:r>
        <w:rPr>
          <w:rFonts w:ascii="Calibri" w:hAnsi="Calibri"/>
          <w:b/>
          <w:color w:val="0F172A"/>
          <w:sz w:val="20"/>
        </w:rPr>
        <w:t xml:space="preserve">Cross-Site Scripting (XSS): </w:t>
      </w:r>
      <w:r>
        <w:rPr>
          <w:rFonts w:ascii="Calibri" w:hAnsi="Calibri"/>
          <w:color w:val="334155"/>
          <w:sz w:val="20"/>
        </w:rPr>
        <w:t>All inbound query parameters and request bodies pass through HTML entity sanitization to prevent stored and reflected script injection.</w:t>
      </w:r>
    </w:p>
    <w:p>
      <w:pPr>
        <w:pStyle w:val="ListBullet"/>
        <w:spacing w:before="0" w:after="60" w:line="276" w:lineRule="auto"/>
      </w:pPr>
      <w:r>
        <w:rPr>
          <w:rFonts w:ascii="Calibri" w:hAnsi="Calibri"/>
          <w:b/>
          <w:color w:val="0F172A"/>
          <w:sz w:val="20"/>
        </w:rPr>
        <w:t xml:space="preserve">Cross-Site Request Forgery (CSRF): </w:t>
      </w:r>
      <w:r>
        <w:rPr>
          <w:rFonts w:ascii="Calibri" w:hAnsi="Calibri"/>
          <w:color w:val="334155"/>
          <w:sz w:val="20"/>
        </w:rPr>
        <w:t>The API relies entirely on stateless Authorization Bearer tokens, rendering the platform naturally immune to standard browser cookie CSRF attacks.</w:t>
      </w:r>
    </w:p>
    <w:p>
      <w:pPr>
        <w:pStyle w:val="ListBullet"/>
        <w:spacing w:before="0" w:after="60" w:line="276" w:lineRule="auto"/>
      </w:pPr>
      <w:r>
        <w:rPr>
          <w:rFonts w:ascii="Calibri" w:hAnsi="Calibri"/>
          <w:b/>
          <w:color w:val="0F172A"/>
          <w:sz w:val="20"/>
        </w:rPr>
        <w:t xml:space="preserve">HTTP Header Hardening: </w:t>
      </w:r>
      <w:r>
        <w:rPr>
          <w:rFonts w:ascii="Calibri" w:hAnsi="Calibri"/>
          <w:color w:val="334155"/>
          <w:sz w:val="20"/>
        </w:rPr>
        <w:t>Helmet security middleware configures HTTP response headers including Content-Security-Policy (CSP), X-Frame-Options: DENY, and X-Content-Type-Options: nosniff.</w:t>
      </w:r>
    </w:p>
    <w:p>
      <w:pPr>
        <w:keepNext/>
        <w:spacing w:before="360" w:after="120"/>
      </w:pPr>
      <w:r>
        <w:rPr>
          <w:rFonts w:ascii="Calibri" w:hAnsi="Calibri"/>
          <w:b/>
          <w:color w:val="1E3A8A"/>
          <w:sz w:val="32"/>
        </w:rPr>
        <w:t>7. Data Requirements</w:t>
      </w:r>
    </w:p>
    <w:p>
      <w:pPr>
        <w:spacing w:before="0" w:after="80" w:line="276" w:lineRule="auto"/>
      </w:pPr>
      <w:r>
        <w:rPr>
          <w:rFonts w:ascii="Calibri" w:hAnsi="Calibri"/>
          <w:color w:val="334155"/>
          <w:sz w:val="20"/>
        </w:rPr>
        <w:t>The TripMate persistence tier is modeled across seven normalized core entities: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160"/>
            <w:shd w:fill="1E3A8A"/>
            <w:tcMar>
              <w:top w:w="140" w:type="dxa"/>
              <w:bottom w:w="140" w:type="dxa"/>
              <w:left w:w="160" w:type="dxa"/>
              <w:right w:w="160" w:type="dxa"/>
            </w:tcMar>
          </w:tcPr>
          <w:p>
            <w:pPr>
              <w:jc w:val="left"/>
            </w:pPr>
            <w:r>
              <w:rPr>
                <w:rFonts w:ascii="Calibri" w:hAnsi="Calibri"/>
                <w:b/>
                <w:color w:val="FFFFFF"/>
                <w:sz w:val="20"/>
              </w:rPr>
              <w:t>Entity</w:t>
            </w:r>
          </w:p>
        </w:tc>
        <w:tc>
          <w:tcPr>
            <w:tcW w:type="dxa" w:w="7200"/>
            <w:shd w:fill="1E3A8A"/>
            <w:tcMar>
              <w:top w:w="140" w:type="dxa"/>
              <w:bottom w:w="140" w:type="dxa"/>
              <w:left w:w="160" w:type="dxa"/>
              <w:right w:w="160" w:type="dxa"/>
            </w:tcMar>
          </w:tcPr>
          <w:p>
            <w:pPr>
              <w:jc w:val="left"/>
            </w:pPr>
            <w:r>
              <w:rPr>
                <w:rFonts w:ascii="Calibri" w:hAnsi="Calibri"/>
                <w:b/>
                <w:color w:val="FFFFFF"/>
                <w:sz w:val="20"/>
              </w:rPr>
              <w:t>Schema Attributes &amp; Relational Key Constraints</w:t>
            </w:r>
          </w:p>
        </w:tc>
      </w:tr>
      <w:tr>
        <w:tc>
          <w:tcPr>
            <w:tcW w:type="dxa" w:w="2160"/>
            <w:shd w:fill="FFFFFF"/>
            <w:tcMar>
              <w:top w:w="100" w:type="dxa"/>
              <w:bottom w:w="100" w:type="dxa"/>
              <w:left w:w="160" w:type="dxa"/>
              <w:right w:w="160" w:type="dxa"/>
            </w:tcMar>
          </w:tcPr>
          <w:p>
            <w:pPr>
              <w:jc w:val="left"/>
            </w:pPr>
            <w:r>
              <w:rPr>
                <w:rFonts w:ascii="Calibri" w:hAnsi="Calibri"/>
                <w:color w:val="1E293B"/>
                <w:sz w:val="19"/>
              </w:rPr>
              <w:t>User</w:t>
            </w:r>
          </w:p>
        </w:tc>
        <w:tc>
          <w:tcPr>
            <w:tcW w:type="dxa" w:w="7200"/>
            <w:shd w:fill="FFFFFF"/>
            <w:tcMar>
              <w:top w:w="100" w:type="dxa"/>
              <w:bottom w:w="100" w:type="dxa"/>
              <w:left w:w="160" w:type="dxa"/>
              <w:right w:w="160" w:type="dxa"/>
            </w:tcMar>
          </w:tcPr>
          <w:p>
            <w:pPr>
              <w:jc w:val="left"/>
            </w:pPr>
            <w:r>
              <w:rPr>
                <w:rFonts w:ascii="Calibri" w:hAnsi="Calibri"/>
                <w:color w:val="1E293B"/>
                <w:sz w:val="19"/>
              </w:rPr>
              <w:t>id (UUID, PK), email (Unique String), passwordHash (String), displayName (String), role (Enum: 'user', 'admin'), createdAt (Timestamp)</w:t>
            </w:r>
          </w:p>
        </w:tc>
      </w:tr>
      <w:tr>
        <w:tc>
          <w:tcPr>
            <w:tcW w:type="dxa" w:w="2160"/>
            <w:shd w:fill="F8FAFC"/>
            <w:tcMar>
              <w:top w:w="100" w:type="dxa"/>
              <w:bottom w:w="100" w:type="dxa"/>
              <w:left w:w="160" w:type="dxa"/>
              <w:right w:w="160" w:type="dxa"/>
            </w:tcMar>
          </w:tcPr>
          <w:p>
            <w:pPr>
              <w:jc w:val="left"/>
            </w:pPr>
            <w:r>
              <w:rPr>
                <w:rFonts w:ascii="Calibri" w:hAnsi="Calibri"/>
                <w:color w:val="1E293B"/>
                <w:sz w:val="19"/>
              </w:rPr>
              <w:t>Trip</w:t>
            </w:r>
          </w:p>
        </w:tc>
        <w:tc>
          <w:tcPr>
            <w:tcW w:type="dxa" w:w="7200"/>
            <w:shd w:fill="F8FAFC"/>
            <w:tcMar>
              <w:top w:w="100" w:type="dxa"/>
              <w:bottom w:w="100" w:type="dxa"/>
              <w:left w:w="160" w:type="dxa"/>
              <w:right w:w="160" w:type="dxa"/>
            </w:tcMar>
          </w:tcPr>
          <w:p>
            <w:pPr>
              <w:jc w:val="left"/>
            </w:pPr>
            <w:r>
              <w:rPr>
                <w:rFonts w:ascii="Calibri" w:hAnsi="Calibri"/>
                <w:color w:val="1E293B"/>
                <w:sz w:val="19"/>
              </w:rPr>
              <w:t>id (UUID, PK), title (String), description (Text), destination (String), startDate (Date), endDate (Date), budget (Decimal), isPrivate (Boolean), createdBy (UUID, FK -&gt; User.id), createdAt (Timestamp)</w:t>
            </w:r>
          </w:p>
        </w:tc>
      </w:tr>
      <w:tr>
        <w:tc>
          <w:tcPr>
            <w:tcW w:type="dxa" w:w="2160"/>
            <w:shd w:fill="FFFFFF"/>
            <w:tcMar>
              <w:top w:w="100" w:type="dxa"/>
              <w:bottom w:w="100" w:type="dxa"/>
              <w:left w:w="160" w:type="dxa"/>
              <w:right w:w="160" w:type="dxa"/>
            </w:tcMar>
          </w:tcPr>
          <w:p>
            <w:pPr>
              <w:jc w:val="left"/>
            </w:pPr>
            <w:r>
              <w:rPr>
                <w:rFonts w:ascii="Calibri" w:hAnsi="Calibri"/>
                <w:color w:val="1E293B"/>
                <w:sz w:val="19"/>
              </w:rPr>
              <w:t>Collaborator</w:t>
            </w:r>
          </w:p>
        </w:tc>
        <w:tc>
          <w:tcPr>
            <w:tcW w:type="dxa" w:w="7200"/>
            <w:shd w:fill="FFFFFF"/>
            <w:tcMar>
              <w:top w:w="100" w:type="dxa"/>
              <w:bottom w:w="100" w:type="dxa"/>
              <w:left w:w="160" w:type="dxa"/>
              <w:right w:w="160" w:type="dxa"/>
            </w:tcMar>
          </w:tcPr>
          <w:p>
            <w:pPr>
              <w:jc w:val="left"/>
            </w:pPr>
            <w:r>
              <w:rPr>
                <w:rFonts w:ascii="Calibri" w:hAnsi="Calibri"/>
                <w:color w:val="1E293B"/>
                <w:sz w:val="19"/>
              </w:rPr>
              <w:t>id (UUID, PK), tripId (UUID, FK -&gt; Trip.id), userId (UUID, FK -&gt; User.id), role (Enum: 'owner', 'editor', 'viewer'), invitedBy (UUID, FK -&gt; User.id), joinedAt (Timestamp)</w:t>
            </w:r>
          </w:p>
        </w:tc>
      </w:tr>
      <w:tr>
        <w:tc>
          <w:tcPr>
            <w:tcW w:type="dxa" w:w="2160"/>
            <w:shd w:fill="F8FAFC"/>
            <w:tcMar>
              <w:top w:w="100" w:type="dxa"/>
              <w:bottom w:w="100" w:type="dxa"/>
              <w:left w:w="160" w:type="dxa"/>
              <w:right w:w="160" w:type="dxa"/>
            </w:tcMar>
          </w:tcPr>
          <w:p>
            <w:pPr>
              <w:jc w:val="left"/>
            </w:pPr>
            <w:r>
              <w:rPr>
                <w:rFonts w:ascii="Calibri" w:hAnsi="Calibri"/>
                <w:color w:val="1E293B"/>
                <w:sz w:val="19"/>
              </w:rPr>
              <w:t>Destination</w:t>
            </w:r>
          </w:p>
        </w:tc>
        <w:tc>
          <w:tcPr>
            <w:tcW w:type="dxa" w:w="7200"/>
            <w:shd w:fill="F8FAFC"/>
            <w:tcMar>
              <w:top w:w="100" w:type="dxa"/>
              <w:bottom w:w="100" w:type="dxa"/>
              <w:left w:w="160" w:type="dxa"/>
              <w:right w:w="160" w:type="dxa"/>
            </w:tcMar>
          </w:tcPr>
          <w:p>
            <w:pPr>
              <w:jc w:val="left"/>
            </w:pPr>
            <w:r>
              <w:rPr>
                <w:rFonts w:ascii="Calibri" w:hAnsi="Calibri"/>
                <w:color w:val="1E293B"/>
                <w:sz w:val="19"/>
              </w:rPr>
              <w:t>id (UUID, PK), tripId (UUID, FK -&gt; Trip.id), name (String), country (String), arrivalDate (Date), departureDate (Date), orderIndex (Integer), notes (Text)</w:t>
            </w:r>
          </w:p>
        </w:tc>
      </w:tr>
      <w:tr>
        <w:tc>
          <w:tcPr>
            <w:tcW w:type="dxa" w:w="2160"/>
            <w:shd w:fill="FFFFFF"/>
            <w:tcMar>
              <w:top w:w="100" w:type="dxa"/>
              <w:bottom w:w="100" w:type="dxa"/>
              <w:left w:w="160" w:type="dxa"/>
              <w:right w:w="160" w:type="dxa"/>
            </w:tcMar>
          </w:tcPr>
          <w:p>
            <w:pPr>
              <w:jc w:val="left"/>
            </w:pPr>
            <w:r>
              <w:rPr>
                <w:rFonts w:ascii="Calibri" w:hAnsi="Calibri"/>
                <w:color w:val="1E293B"/>
                <w:sz w:val="19"/>
              </w:rPr>
              <w:t>ItineraryItem</w:t>
            </w:r>
          </w:p>
        </w:tc>
        <w:tc>
          <w:tcPr>
            <w:tcW w:type="dxa" w:w="7200"/>
            <w:shd w:fill="FFFFFF"/>
            <w:tcMar>
              <w:top w:w="100" w:type="dxa"/>
              <w:bottom w:w="100" w:type="dxa"/>
              <w:left w:w="160" w:type="dxa"/>
              <w:right w:w="160" w:type="dxa"/>
            </w:tcMar>
          </w:tcPr>
          <w:p>
            <w:pPr>
              <w:jc w:val="left"/>
            </w:pPr>
            <w:r>
              <w:rPr>
                <w:rFonts w:ascii="Calibri" w:hAnsi="Calibri"/>
                <w:color w:val="1E293B"/>
                <w:sz w:val="19"/>
              </w:rPr>
              <w:t>id (UUID, PK), tripId (UUID, FK -&gt; Trip.id), destinationId (UUID, FK -&gt; Destination.id), title (String), date (Date), time (Time), estimatedCost (Decimal), isCompleted (Boolean), assignedTo (UUID, FK -&gt; User.id)</w:t>
            </w:r>
          </w:p>
        </w:tc>
      </w:tr>
      <w:tr>
        <w:tc>
          <w:tcPr>
            <w:tcW w:type="dxa" w:w="2160"/>
            <w:shd w:fill="F8FAFC"/>
            <w:tcMar>
              <w:top w:w="100" w:type="dxa"/>
              <w:bottom w:w="100" w:type="dxa"/>
              <w:left w:w="160" w:type="dxa"/>
              <w:right w:w="160" w:type="dxa"/>
            </w:tcMar>
          </w:tcPr>
          <w:p>
            <w:pPr>
              <w:jc w:val="left"/>
            </w:pPr>
            <w:r>
              <w:rPr>
                <w:rFonts w:ascii="Calibri" w:hAnsi="Calibri"/>
                <w:color w:val="1E293B"/>
                <w:sz w:val="19"/>
              </w:rPr>
              <w:t>Expense</w:t>
            </w:r>
          </w:p>
        </w:tc>
        <w:tc>
          <w:tcPr>
            <w:tcW w:type="dxa" w:w="7200"/>
            <w:shd w:fill="F8FAFC"/>
            <w:tcMar>
              <w:top w:w="100" w:type="dxa"/>
              <w:bottom w:w="100" w:type="dxa"/>
              <w:left w:w="160" w:type="dxa"/>
              <w:right w:w="160" w:type="dxa"/>
            </w:tcMar>
          </w:tcPr>
          <w:p>
            <w:pPr>
              <w:jc w:val="left"/>
            </w:pPr>
            <w:r>
              <w:rPr>
                <w:rFonts w:ascii="Calibri" w:hAnsi="Calibri"/>
                <w:color w:val="1E293B"/>
                <w:sz w:val="19"/>
              </w:rPr>
              <w:t>id (UUID, PK), tripId (UUID, FK -&gt; Trip.id), title (String), amount (Decimal), currency (String), category (String), payerId (UUID, FK -&gt; User.id), splitMembers (JSON Array of UUIDs), createdAt (Timestamp)</w:t>
            </w:r>
          </w:p>
        </w:tc>
      </w:tr>
      <w:tr>
        <w:tc>
          <w:tcPr>
            <w:tcW w:type="dxa" w:w="2160"/>
            <w:shd w:fill="FFFFFF"/>
            <w:tcMar>
              <w:top w:w="100" w:type="dxa"/>
              <w:bottom w:w="100" w:type="dxa"/>
              <w:left w:w="160" w:type="dxa"/>
              <w:right w:w="160" w:type="dxa"/>
            </w:tcMar>
          </w:tcPr>
          <w:p>
            <w:pPr>
              <w:jc w:val="left"/>
            </w:pPr>
            <w:r>
              <w:rPr>
                <w:rFonts w:ascii="Calibri" w:hAnsi="Calibri"/>
                <w:color w:val="1E293B"/>
                <w:sz w:val="19"/>
              </w:rPr>
              <w:t>AuditLog</w:t>
            </w:r>
          </w:p>
        </w:tc>
        <w:tc>
          <w:tcPr>
            <w:tcW w:type="dxa" w:w="7200"/>
            <w:shd w:fill="FFFFFF"/>
            <w:tcMar>
              <w:top w:w="100" w:type="dxa"/>
              <w:bottom w:w="100" w:type="dxa"/>
              <w:left w:w="160" w:type="dxa"/>
              <w:right w:w="160" w:type="dxa"/>
            </w:tcMar>
          </w:tcPr>
          <w:p>
            <w:pPr>
              <w:jc w:val="left"/>
            </w:pPr>
            <w:r>
              <w:rPr>
                <w:rFonts w:ascii="Calibri" w:hAnsi="Calibri"/>
                <w:color w:val="1E293B"/>
                <w:sz w:val="19"/>
              </w:rPr>
              <w:t>id (UUID, PK), timestamp (Timestamp), actorId (UUID), action (String), targetResource (String), ipAddress (String), status (Enum: 'SUCCESS', 'DENIED', 'FAILURE'), details (JSON Object)</w:t>
            </w:r>
          </w:p>
        </w:tc>
      </w:tr>
    </w:tbl>
    <w:p>
      <w:r>
        <w:br w:type="page"/>
      </w:r>
    </w:p>
    <w:p>
      <w:pPr>
        <w:keepNext/>
        <w:spacing w:before="360" w:after="120"/>
      </w:pPr>
      <w:r>
        <w:rPr>
          <w:rFonts w:ascii="Calibri" w:hAnsi="Calibri"/>
          <w:b/>
          <w:color w:val="1E3A8A"/>
          <w:sz w:val="32"/>
        </w:rPr>
        <w:t>8. Use Case Descriptions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880"/>
            <w:shd w:fill="1E3A8A"/>
            <w:tcMar>
              <w:top w:w="140" w:type="dxa"/>
              <w:bottom w:w="140" w:type="dxa"/>
              <w:left w:w="160" w:type="dxa"/>
              <w:right w:w="160" w:type="dxa"/>
            </w:tcMar>
          </w:tcPr>
          <w:p>
            <w:pPr>
              <w:jc w:val="left"/>
            </w:pPr>
            <w:r>
              <w:rPr>
                <w:rFonts w:ascii="Calibri" w:hAnsi="Calibri"/>
                <w:b/>
                <w:color w:val="FFFFFF"/>
                <w:sz w:val="20"/>
              </w:rPr>
              <w:t>Use Case ID &amp; Title</w:t>
            </w:r>
          </w:p>
        </w:tc>
        <w:tc>
          <w:tcPr>
            <w:tcW w:type="dxa" w:w="1728"/>
            <w:shd w:fill="1E3A8A"/>
            <w:tcMar>
              <w:top w:w="140" w:type="dxa"/>
              <w:bottom w:w="140" w:type="dxa"/>
              <w:left w:w="160" w:type="dxa"/>
              <w:right w:w="160" w:type="dxa"/>
            </w:tcMar>
          </w:tcPr>
          <w:p>
            <w:pPr>
              <w:jc w:val="left"/>
            </w:pPr>
            <w:r>
              <w:rPr>
                <w:rFonts w:ascii="Calibri" w:hAnsi="Calibri"/>
                <w:b/>
                <w:color w:val="FFFFFF"/>
                <w:sz w:val="20"/>
              </w:rPr>
              <w:t>Primary Actor</w:t>
            </w:r>
          </w:p>
        </w:tc>
        <w:tc>
          <w:tcPr>
            <w:tcW w:type="dxa" w:w="4752"/>
            <w:shd w:fill="1E3A8A"/>
            <w:tcMar>
              <w:top w:w="140" w:type="dxa"/>
              <w:bottom w:w="140" w:type="dxa"/>
              <w:left w:w="160" w:type="dxa"/>
              <w:right w:w="160" w:type="dxa"/>
            </w:tcMar>
          </w:tcPr>
          <w:p>
            <w:pPr>
              <w:jc w:val="left"/>
            </w:pPr>
            <w:r>
              <w:rPr>
                <w:rFonts w:ascii="Calibri" w:hAnsi="Calibri"/>
                <w:b/>
                <w:color w:val="FFFFFF"/>
                <w:sz w:val="20"/>
              </w:rPr>
              <w:t>Execution Flow &amp; System Outcome</w:t>
            </w:r>
          </w:p>
        </w:tc>
      </w:tr>
      <w:tr>
        <w:tc>
          <w:tcPr>
            <w:tcW w:type="dxa" w:w="2880"/>
            <w:shd w:fill="FFFFFF"/>
            <w:tcMar>
              <w:top w:w="100" w:type="dxa"/>
              <w:bottom w:w="100" w:type="dxa"/>
              <w:left w:w="160" w:type="dxa"/>
              <w:right w:w="160" w:type="dxa"/>
            </w:tcMar>
          </w:tcPr>
          <w:p>
            <w:pPr>
              <w:jc w:val="left"/>
            </w:pPr>
            <w:r>
              <w:rPr>
                <w:rFonts w:ascii="Calibri" w:hAnsi="Calibri"/>
                <w:color w:val="1E293B"/>
                <w:sz w:val="19"/>
              </w:rPr>
              <w:t>UC-1: Register &amp; Authenticate User</w:t>
            </w:r>
          </w:p>
        </w:tc>
        <w:tc>
          <w:tcPr>
            <w:tcW w:type="dxa" w:w="1728"/>
            <w:shd w:fill="FFFFFF"/>
            <w:tcMar>
              <w:top w:w="100" w:type="dxa"/>
              <w:bottom w:w="100" w:type="dxa"/>
              <w:left w:w="160" w:type="dxa"/>
              <w:right w:w="160" w:type="dxa"/>
            </w:tcMar>
          </w:tcPr>
          <w:p>
            <w:pPr>
              <w:jc w:val="left"/>
            </w:pPr>
            <w:r>
              <w:rPr>
                <w:rFonts w:ascii="Calibri" w:hAnsi="Calibri"/>
                <w:color w:val="1E293B"/>
                <w:sz w:val="19"/>
              </w:rPr>
              <w:t>User</w:t>
            </w:r>
          </w:p>
        </w:tc>
        <w:tc>
          <w:tcPr>
            <w:tcW w:type="dxa" w:w="4752"/>
            <w:shd w:fill="FFFFFF"/>
            <w:tcMar>
              <w:top w:w="100" w:type="dxa"/>
              <w:bottom w:w="100" w:type="dxa"/>
              <w:left w:w="160" w:type="dxa"/>
              <w:right w:w="160" w:type="dxa"/>
            </w:tcMar>
          </w:tcPr>
          <w:p>
            <w:pPr>
              <w:jc w:val="left"/>
            </w:pPr>
            <w:r>
              <w:rPr>
                <w:rFonts w:ascii="Calibri" w:hAnsi="Calibri"/>
                <w:color w:val="1E293B"/>
                <w:sz w:val="19"/>
              </w:rPr>
              <w:t>User provides registration details; system hashes credentials with bcrypt and returns signed JWT token.</w:t>
            </w:r>
          </w:p>
        </w:tc>
      </w:tr>
      <w:tr>
        <w:tc>
          <w:tcPr>
            <w:tcW w:type="dxa" w:w="2880"/>
            <w:shd w:fill="F8FAFC"/>
            <w:tcMar>
              <w:top w:w="100" w:type="dxa"/>
              <w:bottom w:w="100" w:type="dxa"/>
              <w:left w:w="160" w:type="dxa"/>
              <w:right w:w="160" w:type="dxa"/>
            </w:tcMar>
          </w:tcPr>
          <w:p>
            <w:pPr>
              <w:jc w:val="left"/>
            </w:pPr>
            <w:r>
              <w:rPr>
                <w:rFonts w:ascii="Calibri" w:hAnsi="Calibri"/>
                <w:color w:val="1E293B"/>
                <w:sz w:val="19"/>
              </w:rPr>
              <w:t>UC-2: Create Travel Trip</w:t>
            </w:r>
          </w:p>
        </w:tc>
        <w:tc>
          <w:tcPr>
            <w:tcW w:type="dxa" w:w="1728"/>
            <w:shd w:fill="F8FAFC"/>
            <w:tcMar>
              <w:top w:w="100" w:type="dxa"/>
              <w:bottom w:w="100" w:type="dxa"/>
              <w:left w:w="160" w:type="dxa"/>
              <w:right w:w="160" w:type="dxa"/>
            </w:tcMar>
          </w:tcPr>
          <w:p>
            <w:pPr>
              <w:jc w:val="left"/>
            </w:pPr>
            <w:r>
              <w:rPr>
                <w:rFonts w:ascii="Calibri" w:hAnsi="Calibri"/>
                <w:color w:val="1E293B"/>
                <w:sz w:val="19"/>
              </w:rPr>
              <w:t>Trip Owner</w:t>
            </w:r>
          </w:p>
        </w:tc>
        <w:tc>
          <w:tcPr>
            <w:tcW w:type="dxa" w:w="4752"/>
            <w:shd w:fill="F8FAFC"/>
            <w:tcMar>
              <w:top w:w="100" w:type="dxa"/>
              <w:bottom w:w="100" w:type="dxa"/>
              <w:left w:w="160" w:type="dxa"/>
              <w:right w:w="160" w:type="dxa"/>
            </w:tcMar>
          </w:tcPr>
          <w:p>
            <w:pPr>
              <w:jc w:val="left"/>
            </w:pPr>
            <w:r>
              <w:rPr>
                <w:rFonts w:ascii="Calibri" w:hAnsi="Calibri"/>
                <w:color w:val="1E293B"/>
                <w:sz w:val="19"/>
              </w:rPr>
              <w:t>Authenticated user creates trip with title, dates, and budget; system records trip and establishes user as Owner.</w:t>
            </w:r>
          </w:p>
        </w:tc>
      </w:tr>
      <w:tr>
        <w:tc>
          <w:tcPr>
            <w:tcW w:type="dxa" w:w="2880"/>
            <w:shd w:fill="FFFFFF"/>
            <w:tcMar>
              <w:top w:w="100" w:type="dxa"/>
              <w:bottom w:w="100" w:type="dxa"/>
              <w:left w:w="160" w:type="dxa"/>
              <w:right w:w="160" w:type="dxa"/>
            </w:tcMar>
          </w:tcPr>
          <w:p>
            <w:pPr>
              <w:jc w:val="left"/>
            </w:pPr>
            <w:r>
              <w:rPr>
                <w:rFonts w:ascii="Calibri" w:hAnsi="Calibri"/>
                <w:color w:val="1E293B"/>
                <w:sz w:val="19"/>
              </w:rPr>
              <w:t>UC-3: Invite Collaborator by Email</w:t>
            </w:r>
          </w:p>
        </w:tc>
        <w:tc>
          <w:tcPr>
            <w:tcW w:type="dxa" w:w="1728"/>
            <w:shd w:fill="FFFFFF"/>
            <w:tcMar>
              <w:top w:w="100" w:type="dxa"/>
              <w:bottom w:w="100" w:type="dxa"/>
              <w:left w:w="160" w:type="dxa"/>
              <w:right w:w="160" w:type="dxa"/>
            </w:tcMar>
          </w:tcPr>
          <w:p>
            <w:pPr>
              <w:jc w:val="left"/>
            </w:pPr>
            <w:r>
              <w:rPr>
                <w:rFonts w:ascii="Calibri" w:hAnsi="Calibri"/>
                <w:color w:val="1E293B"/>
                <w:sz w:val="19"/>
              </w:rPr>
              <w:t>Trip Owner</w:t>
            </w:r>
          </w:p>
        </w:tc>
        <w:tc>
          <w:tcPr>
            <w:tcW w:type="dxa" w:w="4752"/>
            <w:shd w:fill="FFFFFF"/>
            <w:tcMar>
              <w:top w:w="100" w:type="dxa"/>
              <w:bottom w:w="100" w:type="dxa"/>
              <w:left w:w="160" w:type="dxa"/>
              <w:right w:w="160" w:type="dxa"/>
            </w:tcMar>
          </w:tcPr>
          <w:p>
            <w:pPr>
              <w:jc w:val="left"/>
            </w:pPr>
            <w:r>
              <w:rPr>
                <w:rFonts w:ascii="Calibri" w:hAnsi="Calibri"/>
                <w:color w:val="1E293B"/>
                <w:sz w:val="19"/>
              </w:rPr>
              <w:t>Owner inputs collaborator email and role ('editor'/'viewer'); system generates membership record or pending invite.</w:t>
            </w:r>
          </w:p>
        </w:tc>
      </w:tr>
      <w:tr>
        <w:tc>
          <w:tcPr>
            <w:tcW w:type="dxa" w:w="2880"/>
            <w:shd w:fill="F8FAFC"/>
            <w:tcMar>
              <w:top w:w="100" w:type="dxa"/>
              <w:bottom w:w="100" w:type="dxa"/>
              <w:left w:w="160" w:type="dxa"/>
              <w:right w:w="160" w:type="dxa"/>
            </w:tcMar>
          </w:tcPr>
          <w:p>
            <w:pPr>
              <w:jc w:val="left"/>
            </w:pPr>
            <w:r>
              <w:rPr>
                <w:rFonts w:ascii="Calibri" w:hAnsi="Calibri"/>
                <w:color w:val="1E293B"/>
                <w:sz w:val="19"/>
              </w:rPr>
              <w:t>UC-4: Schedule Itinerary Activity</w:t>
            </w:r>
          </w:p>
        </w:tc>
        <w:tc>
          <w:tcPr>
            <w:tcW w:type="dxa" w:w="1728"/>
            <w:shd w:fill="F8FAFC"/>
            <w:tcMar>
              <w:top w:w="100" w:type="dxa"/>
              <w:bottom w:w="100" w:type="dxa"/>
              <w:left w:w="160" w:type="dxa"/>
              <w:right w:w="160" w:type="dxa"/>
            </w:tcMar>
          </w:tcPr>
          <w:p>
            <w:pPr>
              <w:jc w:val="left"/>
            </w:pPr>
            <w:r>
              <w:rPr>
                <w:rFonts w:ascii="Calibri" w:hAnsi="Calibri"/>
                <w:color w:val="1E293B"/>
                <w:sz w:val="19"/>
              </w:rPr>
              <w:t>Owner / Editor</w:t>
            </w:r>
          </w:p>
        </w:tc>
        <w:tc>
          <w:tcPr>
            <w:tcW w:type="dxa" w:w="4752"/>
            <w:shd w:fill="F8FAFC"/>
            <w:tcMar>
              <w:top w:w="100" w:type="dxa"/>
              <w:bottom w:w="100" w:type="dxa"/>
              <w:left w:w="160" w:type="dxa"/>
              <w:right w:w="160" w:type="dxa"/>
            </w:tcMar>
          </w:tcPr>
          <w:p>
            <w:pPr>
              <w:jc w:val="left"/>
            </w:pPr>
            <w:r>
              <w:rPr>
                <w:rFonts w:ascii="Calibri" w:hAnsi="Calibri"/>
                <w:color w:val="1E293B"/>
                <w:sz w:val="19"/>
              </w:rPr>
              <w:t>User creates scheduled event linked to a destination, sets time, estimated cost, and assigns responsible member.</w:t>
            </w:r>
          </w:p>
        </w:tc>
      </w:tr>
      <w:tr>
        <w:tc>
          <w:tcPr>
            <w:tcW w:type="dxa" w:w="2880"/>
            <w:shd w:fill="FFFFFF"/>
            <w:tcMar>
              <w:top w:w="100" w:type="dxa"/>
              <w:bottom w:w="100" w:type="dxa"/>
              <w:left w:w="160" w:type="dxa"/>
              <w:right w:w="160" w:type="dxa"/>
            </w:tcMar>
          </w:tcPr>
          <w:p>
            <w:pPr>
              <w:jc w:val="left"/>
            </w:pPr>
            <w:r>
              <w:rPr>
                <w:rFonts w:ascii="Calibri" w:hAnsi="Calibri"/>
                <w:color w:val="1E293B"/>
                <w:sz w:val="19"/>
              </w:rPr>
              <w:t>UC-5: Log Shared Expense &amp; Split</w:t>
            </w:r>
          </w:p>
        </w:tc>
        <w:tc>
          <w:tcPr>
            <w:tcW w:type="dxa" w:w="1728"/>
            <w:shd w:fill="FFFFFF"/>
            <w:tcMar>
              <w:top w:w="100" w:type="dxa"/>
              <w:bottom w:w="100" w:type="dxa"/>
              <w:left w:w="160" w:type="dxa"/>
              <w:right w:w="160" w:type="dxa"/>
            </w:tcMar>
          </w:tcPr>
          <w:p>
            <w:pPr>
              <w:jc w:val="left"/>
            </w:pPr>
            <w:r>
              <w:rPr>
                <w:rFonts w:ascii="Calibri" w:hAnsi="Calibri"/>
                <w:color w:val="1E293B"/>
                <w:sz w:val="19"/>
              </w:rPr>
              <w:t>Owner / Editor</w:t>
            </w:r>
          </w:p>
        </w:tc>
        <w:tc>
          <w:tcPr>
            <w:tcW w:type="dxa" w:w="4752"/>
            <w:shd w:fill="FFFFFF"/>
            <w:tcMar>
              <w:top w:w="100" w:type="dxa"/>
              <w:bottom w:w="100" w:type="dxa"/>
              <w:left w:w="160" w:type="dxa"/>
              <w:right w:w="160" w:type="dxa"/>
            </w:tcMar>
          </w:tcPr>
          <w:p>
            <w:pPr>
              <w:jc w:val="left"/>
            </w:pPr>
            <w:r>
              <w:rPr>
                <w:rFonts w:ascii="Calibri" w:hAnsi="Calibri"/>
                <w:color w:val="1E293B"/>
                <w:sz w:val="19"/>
              </w:rPr>
              <w:t>User logs expenditure, designates paying member, and selects participants to share cost; system validates zero-sum split.</w:t>
            </w:r>
          </w:p>
        </w:tc>
      </w:tr>
      <w:tr>
        <w:tc>
          <w:tcPr>
            <w:tcW w:type="dxa" w:w="2880"/>
            <w:shd w:fill="F8FAFC"/>
            <w:tcMar>
              <w:top w:w="100" w:type="dxa"/>
              <w:bottom w:w="100" w:type="dxa"/>
              <w:left w:w="160" w:type="dxa"/>
              <w:right w:w="160" w:type="dxa"/>
            </w:tcMar>
          </w:tcPr>
          <w:p>
            <w:pPr>
              <w:jc w:val="left"/>
            </w:pPr>
            <w:r>
              <w:rPr>
                <w:rFonts w:ascii="Calibri" w:hAnsi="Calibri"/>
                <w:color w:val="1E293B"/>
                <w:sz w:val="19"/>
              </w:rPr>
              <w:t>UC-6: Compute Debt Settlement Matrix</w:t>
            </w:r>
          </w:p>
        </w:tc>
        <w:tc>
          <w:tcPr>
            <w:tcW w:type="dxa" w:w="1728"/>
            <w:shd w:fill="F8FAFC"/>
            <w:tcMar>
              <w:top w:w="100" w:type="dxa"/>
              <w:bottom w:w="100" w:type="dxa"/>
              <w:left w:w="160" w:type="dxa"/>
              <w:right w:w="160" w:type="dxa"/>
            </w:tcMar>
          </w:tcPr>
          <w:p>
            <w:pPr>
              <w:jc w:val="left"/>
            </w:pPr>
            <w:r>
              <w:rPr>
                <w:rFonts w:ascii="Calibri" w:hAnsi="Calibri"/>
                <w:color w:val="1E293B"/>
                <w:sz w:val="19"/>
              </w:rPr>
              <w:t>Any Member</w:t>
            </w:r>
          </w:p>
        </w:tc>
        <w:tc>
          <w:tcPr>
            <w:tcW w:type="dxa" w:w="4752"/>
            <w:shd w:fill="F8FAFC"/>
            <w:tcMar>
              <w:top w:w="100" w:type="dxa"/>
              <w:bottom w:w="100" w:type="dxa"/>
              <w:left w:w="160" w:type="dxa"/>
              <w:right w:w="160" w:type="dxa"/>
            </w:tcMar>
          </w:tcPr>
          <w:p>
            <w:pPr>
              <w:jc w:val="left"/>
            </w:pPr>
            <w:r>
              <w:rPr>
                <w:rFonts w:ascii="Calibri" w:hAnsi="Calibri"/>
                <w:color w:val="1E293B"/>
                <w:sz w:val="19"/>
              </w:rPr>
              <w:t>User views expense summary; system executes greedy minimization algorithm returning optimal 'Who Owes Whom' ledger.</w:t>
            </w:r>
          </w:p>
        </w:tc>
      </w:tr>
      <w:tr>
        <w:tc>
          <w:tcPr>
            <w:tcW w:type="dxa" w:w="2880"/>
            <w:shd w:fill="FFFFFF"/>
            <w:tcMar>
              <w:top w:w="100" w:type="dxa"/>
              <w:bottom w:w="100" w:type="dxa"/>
              <w:left w:w="160" w:type="dxa"/>
              <w:right w:w="160" w:type="dxa"/>
            </w:tcMar>
          </w:tcPr>
          <w:p>
            <w:pPr>
              <w:jc w:val="left"/>
            </w:pPr>
            <w:r>
              <w:rPr>
                <w:rFonts w:ascii="Calibri" w:hAnsi="Calibri"/>
                <w:color w:val="1E293B"/>
                <w:sz w:val="19"/>
              </w:rPr>
              <w:t>UC-7: Enforce RBAC on Unauthorized Action</w:t>
            </w:r>
          </w:p>
        </w:tc>
        <w:tc>
          <w:tcPr>
            <w:tcW w:type="dxa" w:w="1728"/>
            <w:shd w:fill="FFFFFF"/>
            <w:tcMar>
              <w:top w:w="100" w:type="dxa"/>
              <w:bottom w:w="100" w:type="dxa"/>
              <w:left w:w="160" w:type="dxa"/>
              <w:right w:w="160" w:type="dxa"/>
            </w:tcMar>
          </w:tcPr>
          <w:p>
            <w:pPr>
              <w:jc w:val="left"/>
            </w:pPr>
            <w:r>
              <w:rPr>
                <w:rFonts w:ascii="Calibri" w:hAnsi="Calibri"/>
                <w:color w:val="1E293B"/>
                <w:sz w:val="19"/>
              </w:rPr>
              <w:t>Trip Viewer</w:t>
            </w:r>
          </w:p>
        </w:tc>
        <w:tc>
          <w:tcPr>
            <w:tcW w:type="dxa" w:w="4752"/>
            <w:shd w:fill="FFFFFF"/>
            <w:tcMar>
              <w:top w:w="100" w:type="dxa"/>
              <w:bottom w:w="100" w:type="dxa"/>
              <w:left w:w="160" w:type="dxa"/>
              <w:right w:w="160" w:type="dxa"/>
            </w:tcMar>
          </w:tcPr>
          <w:p>
            <w:pPr>
              <w:jc w:val="left"/>
            </w:pPr>
            <w:r>
              <w:rPr>
                <w:rFonts w:ascii="Calibri" w:hAnsi="Calibri"/>
                <w:color w:val="1E293B"/>
                <w:sz w:val="19"/>
              </w:rPr>
              <w:t>Viewer attempts to modify trip itinerary; middleware intercepts request and returns HTTP 403 Forbidden with audit log entry.</w:t>
            </w:r>
          </w:p>
        </w:tc>
      </w:tr>
      <w:tr>
        <w:tc>
          <w:tcPr>
            <w:tcW w:type="dxa" w:w="2880"/>
            <w:shd w:fill="F8FAFC"/>
            <w:tcMar>
              <w:top w:w="100" w:type="dxa"/>
              <w:bottom w:w="100" w:type="dxa"/>
              <w:left w:w="160" w:type="dxa"/>
              <w:right w:w="160" w:type="dxa"/>
            </w:tcMar>
          </w:tcPr>
          <w:p>
            <w:pPr>
              <w:jc w:val="left"/>
            </w:pPr>
            <w:r>
              <w:rPr>
                <w:rFonts w:ascii="Calibri" w:hAnsi="Calibri"/>
                <w:color w:val="1E293B"/>
                <w:sz w:val="19"/>
              </w:rPr>
              <w:t>UC-8: DevSecOps CI/CD Pipeline Gate</w:t>
            </w:r>
          </w:p>
        </w:tc>
        <w:tc>
          <w:tcPr>
            <w:tcW w:type="dxa" w:w="1728"/>
            <w:shd w:fill="F8FAFC"/>
            <w:tcMar>
              <w:top w:w="100" w:type="dxa"/>
              <w:bottom w:w="100" w:type="dxa"/>
              <w:left w:w="160" w:type="dxa"/>
              <w:right w:w="160" w:type="dxa"/>
            </w:tcMar>
          </w:tcPr>
          <w:p>
            <w:pPr>
              <w:jc w:val="left"/>
            </w:pPr>
            <w:r>
              <w:rPr>
                <w:rFonts w:ascii="Calibri" w:hAnsi="Calibri"/>
                <w:color w:val="1E293B"/>
                <w:sz w:val="19"/>
              </w:rPr>
              <w:t>CI/CD System</w:t>
            </w:r>
          </w:p>
        </w:tc>
        <w:tc>
          <w:tcPr>
            <w:tcW w:type="dxa" w:w="4752"/>
            <w:shd w:fill="F8FAFC"/>
            <w:tcMar>
              <w:top w:w="100" w:type="dxa"/>
              <w:bottom w:w="100" w:type="dxa"/>
              <w:left w:w="160" w:type="dxa"/>
              <w:right w:w="160" w:type="dxa"/>
            </w:tcMar>
          </w:tcPr>
          <w:p>
            <w:pPr>
              <w:jc w:val="left"/>
            </w:pPr>
            <w:r>
              <w:rPr>
                <w:rFonts w:ascii="Calibri" w:hAnsi="Calibri"/>
                <w:color w:val="1E293B"/>
                <w:sz w:val="19"/>
              </w:rPr>
              <w:t>Automated runner executes tests, SAST, and Trivy scans on Git push; deployment proceeds only if zero Critical findings exist.</w:t>
            </w:r>
          </w:p>
        </w:tc>
      </w:tr>
    </w:tbl>
    <w:p>
      <w:pPr>
        <w:keepNext/>
        <w:spacing w:before="360" w:after="120"/>
      </w:pPr>
      <w:r>
        <w:rPr>
          <w:rFonts w:ascii="Calibri" w:hAnsi="Calibri"/>
          <w:b/>
          <w:color w:val="1E3A8A"/>
          <w:sz w:val="32"/>
        </w:rPr>
        <w:t>9. Acceptance Criteria</w:t>
      </w:r>
    </w:p>
    <w:p>
      <w:pPr>
        <w:pStyle w:val="ListBullet"/>
        <w:spacing w:before="0" w:after="60" w:line="276" w:lineRule="auto"/>
      </w:pPr>
      <w:r>
        <w:rPr>
          <w:rFonts w:ascii="Calibri" w:hAnsi="Calibri"/>
          <w:color w:val="334155"/>
          <w:sz w:val="20"/>
        </w:rPr>
        <w:t>User passwords shall be cryptographically hashed using bcrypt with work factor &gt;= 10; plaintext passwords shall never appear in logs or responses.</w:t>
      </w:r>
    </w:p>
    <w:p>
      <w:pPr>
        <w:pStyle w:val="ListBullet"/>
        <w:spacing w:before="0" w:after="60" w:line="276" w:lineRule="auto"/>
      </w:pPr>
      <w:r>
        <w:rPr>
          <w:rFonts w:ascii="Calibri" w:hAnsi="Calibri"/>
          <w:color w:val="334155"/>
          <w:sz w:val="20"/>
        </w:rPr>
        <w:t>Users shall only have access to trips they created or were explicitly invited to join; cross-tenant queries must return HTTP 403.</w:t>
      </w:r>
    </w:p>
    <w:p>
      <w:pPr>
        <w:pStyle w:val="ListBullet"/>
        <w:spacing w:before="0" w:after="60" w:line="276" w:lineRule="auto"/>
      </w:pPr>
      <w:r>
        <w:rPr>
          <w:rFonts w:ascii="Calibri" w:hAnsi="Calibri"/>
          <w:color w:val="334155"/>
          <w:sz w:val="20"/>
        </w:rPr>
        <w:t>Trip Editors shall be barred from modifying collaborator roles or deleting trips; only the Owner possesses administrative privileges.</w:t>
      </w:r>
    </w:p>
    <w:p>
      <w:pPr>
        <w:pStyle w:val="ListBullet"/>
        <w:spacing w:before="0" w:after="60" w:line="276" w:lineRule="auto"/>
      </w:pPr>
      <w:r>
        <w:rPr>
          <w:rFonts w:ascii="Calibri" w:hAnsi="Calibri"/>
          <w:color w:val="334155"/>
          <w:sz w:val="20"/>
        </w:rPr>
        <w:t>The debt settlement algorithm shall reduce cyclic mutual debts to the mathematical minimum number of transfer transactions.</w:t>
      </w:r>
    </w:p>
    <w:p>
      <w:pPr>
        <w:pStyle w:val="ListBullet"/>
        <w:spacing w:before="0" w:after="60" w:line="276" w:lineRule="auto"/>
      </w:pPr>
      <w:r>
        <w:rPr>
          <w:rFonts w:ascii="Calibri" w:hAnsi="Calibri"/>
          <w:color w:val="334155"/>
          <w:sz w:val="20"/>
        </w:rPr>
        <w:t>The DevSecOps pipeline shall automatically block deployment if any High or Critical severity vulnerability is flagged by SAST or Trivy.</w:t>
      </w:r>
    </w:p>
    <w:p>
      <w:pPr>
        <w:pStyle w:val="ListBullet"/>
        <w:spacing w:before="0" w:after="60" w:line="276" w:lineRule="auto"/>
      </w:pPr>
      <w:r>
        <w:rPr>
          <w:rFonts w:ascii="Calibri" w:hAnsi="Calibri"/>
          <w:color w:val="334155"/>
          <w:sz w:val="20"/>
        </w:rPr>
        <w:t>All security events (logins, failed auth, role changes, resource deletions) shall appear in the tamper-evident audit log.</w:t>
      </w:r>
    </w:p>
    <w:p>
      <w:pPr>
        <w:keepNext/>
        <w:spacing w:before="360" w:after="120"/>
      </w:pPr>
      <w:r>
        <w:rPr>
          <w:rFonts w:ascii="Calibri" w:hAnsi="Calibri"/>
          <w:b/>
          <w:color w:val="1E3A8A"/>
          <w:sz w:val="32"/>
        </w:rPr>
        <w:t>10. Assumptions &amp; Dependencies</w:t>
      </w:r>
    </w:p>
    <w:p>
      <w:pPr>
        <w:pStyle w:val="ListBullet"/>
        <w:spacing w:before="0" w:after="60" w:line="276" w:lineRule="auto"/>
      </w:pPr>
      <w:r>
        <w:rPr>
          <w:rFonts w:ascii="Calibri" w:hAnsi="Calibri"/>
          <w:color w:val="334155"/>
          <w:sz w:val="20"/>
        </w:rPr>
        <w:t>Target deployment servers run container engines with secure, unprivileged runtime configurations.</w:t>
      </w:r>
    </w:p>
    <w:p>
      <w:pPr>
        <w:pStyle w:val="ListBullet"/>
        <w:spacing w:before="0" w:after="60" w:line="276" w:lineRule="auto"/>
      </w:pPr>
      <w:r>
        <w:rPr>
          <w:rFonts w:ascii="Calibri" w:hAnsi="Calibri"/>
          <w:color w:val="334155"/>
          <w:sz w:val="20"/>
        </w:rPr>
        <w:t>DNS and TLS certificates are managed and provisioned via automated Let's Encrypt / Ingress controllers.</w:t>
      </w:r>
    </w:p>
    <w:p>
      <w:pPr>
        <w:pStyle w:val="ListBullet"/>
        <w:spacing w:before="0" w:after="60" w:line="276" w:lineRule="auto"/>
      </w:pPr>
      <w:r>
        <w:rPr>
          <w:rFonts w:ascii="Calibri" w:hAnsi="Calibri"/>
          <w:color w:val="334155"/>
          <w:sz w:val="20"/>
        </w:rPr>
        <w:t>Collaborators are responsible for validating external financial transfers conducted outside the platform ledger.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Amrita Vishwa Vidyapeetham — Dept. of Cybersecurity Systems &amp; Networks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IEEE 29148 SRS — TripMate | 20CYS495 Capstone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