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hd w:fill="1565C0" w:val="clear"/>
        <w:spacing w:after="0" w:before="200"/>
        <w:jc w:val="center"/>
      </w:pPr>
      <w:r>
        <w:rPr>
          <w:b/>
          <w:bCs/>
          <w:color w:val="FFFFFF"/>
          <w:sz w:val="36"/>
          <w:szCs w:val="36"/>
        </w:rPr>
        <w:t xml:space="preserve">BÁO CÁO KẾT QUẢ THỰC NGHIỆM</w:t>
      </w:r>
    </w:p>
    <w:p>
      <w:pPr>
        <w:shd w:fill="1E88E5" w:val="clear"/>
        <w:spacing w:after="0" w:before="0"/>
        <w:jc w:val="center"/>
      </w:pPr>
      <w:r>
        <w:rPr>
          <w:b/>
          <w:bCs/>
          <w:color w:val="FFFFFF"/>
          <w:sz w:val="26"/>
          <w:szCs w:val="26"/>
        </w:rPr>
        <w:t xml:space="preserve">Lập trình Lượng tử &amp; Phân tích Kết quả</w:t>
      </w:r>
    </w:p>
    <w:p>
      <w:pPr>
        <w:shd w:fill="1E88E5" w:val="clear"/>
        <w:spacing w:after="200" w:before="0"/>
        <w:jc w:val="center"/>
      </w:pPr>
      <w:r>
        <w:rPr>
          <w:i/>
          <w:iCs/>
          <w:color w:val="FFFFFF"/>
          <w:sz w:val="22"/>
          <w:szCs w:val="22"/>
        </w:rPr>
        <w:t xml:space="preserve">Quantum Portfolio Optimization — QAOA on IBM Quantum</w:t>
      </w:r>
    </w:p>
    <w:p>
      <w:pPr>
        <w:spacing w:after="7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546E7A" w:sz="4"/>
              <w:left w:val="single" w:color="546E7A" w:sz="4"/>
              <w:bottom w:val="single" w:color="546E7A" w:sz="4"/>
              <w:right w:val="single" w:color="546E7A" w:sz="4"/>
            </w:tcBorders>
            <w:shd w:fill="546E7A" w:val="clear"/>
            <w:tcMar>
              <w:top w:type="dxa" w:w="100"/>
              <w:left w:type="dxa" w:w="120"/>
              <w:bottom w:type="dxa" w:w="100"/>
              <w:right w:type="dxa" w:w="120"/>
            </w:tcMar>
            <w:vAlign w:val="center"/>
          </w:tcPr>
          <w:p>
            <w:pPr>
              <w:spacing w:after="0"/>
              <w:jc w:val="center"/>
            </w:pPr>
            <w:r>
              <w:rPr>
                <w:b/>
                <w:bCs/>
                <w:color w:val="FFFFFF"/>
                <w:sz w:val="20"/>
                <w:szCs w:val="20"/>
              </w:rPr>
              <w:t xml:space="preserve">Thành viên</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Thành viên 2 — Lập trình lượng tử</w:t>
            </w:r>
          </w:p>
        </w:tc>
      </w:tr>
      <w:tr>
        <w:tc>
          <w:tcPr>
            <w:tcBorders>
              <w:top w:val="single" w:color="546E7A" w:sz="4"/>
              <w:left w:val="single" w:color="546E7A" w:sz="4"/>
              <w:bottom w:val="single" w:color="546E7A" w:sz="4"/>
              <w:right w:val="single" w:color="546E7A" w:sz="4"/>
            </w:tcBorders>
            <w:shd w:fill="546E7A" w:val="clear"/>
            <w:tcMar>
              <w:top w:type="dxa" w:w="100"/>
              <w:left w:type="dxa" w:w="120"/>
              <w:bottom w:type="dxa" w:w="100"/>
              <w:right w:type="dxa" w:w="120"/>
            </w:tcMar>
            <w:vAlign w:val="center"/>
          </w:tcPr>
          <w:p>
            <w:pPr>
              <w:spacing w:after="0"/>
              <w:jc w:val="center"/>
            </w:pPr>
            <w:r>
              <w:rPr>
                <w:b/>
                <w:bCs/>
                <w:color w:val="FFFFFF"/>
                <w:sz w:val="20"/>
                <w:szCs w:val="20"/>
              </w:rPr>
              <w:t xml:space="preserve">Vai trò</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Mạch QAOA · IBM Quantum · Error Mitigation · Báo cáo kết quả</w:t>
            </w:r>
          </w:p>
        </w:tc>
      </w:tr>
      <w:tr>
        <w:tc>
          <w:tcPr>
            <w:tcBorders>
              <w:top w:val="single" w:color="546E7A" w:sz="4"/>
              <w:left w:val="single" w:color="546E7A" w:sz="4"/>
              <w:bottom w:val="single" w:color="546E7A" w:sz="4"/>
              <w:right w:val="single" w:color="546E7A" w:sz="4"/>
            </w:tcBorders>
            <w:shd w:fill="546E7A" w:val="clear"/>
            <w:tcMar>
              <w:top w:type="dxa" w:w="100"/>
              <w:left w:type="dxa" w:w="120"/>
              <w:bottom w:type="dxa" w:w="100"/>
              <w:right w:type="dxa" w:w="120"/>
            </w:tcMar>
            <w:vAlign w:val="center"/>
          </w:tcPr>
          <w:p>
            <w:pPr>
              <w:spacing w:after="0"/>
              <w:jc w:val="center"/>
            </w:pPr>
            <w:r>
              <w:rPr>
                <w:b/>
                <w:bCs/>
                <w:color w:val="FFFFFF"/>
                <w:sz w:val="20"/>
                <w:szCs w:val="20"/>
              </w:rPr>
              <w:t xml:space="preserve">Nền tảng</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Qiskit 2.x · AerSimulator · ibm_brisbane (Eagle r3, 127 qubits)</w:t>
            </w:r>
          </w:p>
        </w:tc>
      </w:tr>
      <w:tr>
        <w:tc>
          <w:tcPr>
            <w:tcBorders>
              <w:top w:val="single" w:color="546E7A" w:sz="4"/>
              <w:left w:val="single" w:color="546E7A" w:sz="4"/>
              <w:bottom w:val="single" w:color="546E7A" w:sz="4"/>
              <w:right w:val="single" w:color="546E7A" w:sz="4"/>
            </w:tcBorders>
            <w:shd w:fill="546E7A" w:val="clear"/>
            <w:tcMar>
              <w:top w:type="dxa" w:w="100"/>
              <w:left w:type="dxa" w:w="120"/>
              <w:bottom w:type="dxa" w:w="100"/>
              <w:right w:type="dxa" w:w="120"/>
            </w:tcMar>
            <w:vAlign w:val="center"/>
          </w:tcPr>
          <w:p>
            <w:pPr>
              <w:spacing w:after="0"/>
              <w:jc w:val="center"/>
            </w:pPr>
            <w:r>
              <w:rPr>
                <w:b/>
                <w:bCs/>
                <w:color w:val="FFFFFF"/>
                <w:sz w:val="20"/>
                <w:szCs w:val="20"/>
              </w:rPr>
              <w:t xml:space="preserve">Dữ liệu</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 cổ phiếu S&amp;P500: AAPL, MSFT, GOOGL, AMZN, TSLA</w:t>
            </w:r>
          </w:p>
        </w:tc>
      </w:tr>
      <w:tr>
        <w:tc>
          <w:tcPr>
            <w:tcBorders>
              <w:top w:val="single" w:color="546E7A" w:sz="4"/>
              <w:left w:val="single" w:color="546E7A" w:sz="4"/>
              <w:bottom w:val="single" w:color="546E7A" w:sz="4"/>
              <w:right w:val="single" w:color="546E7A" w:sz="4"/>
            </w:tcBorders>
            <w:shd w:fill="546E7A" w:val="clear"/>
            <w:tcMar>
              <w:top w:type="dxa" w:w="100"/>
              <w:left w:type="dxa" w:w="120"/>
              <w:bottom w:type="dxa" w:w="100"/>
              <w:right w:type="dxa" w:w="120"/>
            </w:tcMar>
            <w:vAlign w:val="center"/>
          </w:tcPr>
          <w:p>
            <w:pPr>
              <w:spacing w:after="0"/>
              <w:jc w:val="center"/>
            </w:pPr>
            <w:r>
              <w:rPr>
                <w:b/>
                <w:bCs/>
                <w:color w:val="FFFFFF"/>
                <w:sz w:val="20"/>
                <w:szCs w:val="20"/>
              </w:rPr>
              <w:t xml:space="preserve">Năm học</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2024 – 2025</w:t>
            </w:r>
          </w:p>
        </w:tc>
      </w:tr>
    </w:tbl>
    <w:p>
      <w:r>
        <w:br w:type="page"/>
      </w:r>
    </w:p>
    <w:p>
      <w:pPr>
        <w:pStyle w:val="Heading1"/>
        <w:pBdr>
          <w:bottom w:val="single" w:color="1565C0" w:sz="6"/>
        </w:pBdr>
        <w:spacing w:after="180" w:before="360"/>
      </w:pPr>
      <w:r>
        <w:rPr>
          <w:b/>
          <w:bCs/>
          <w:color w:val="1565C0"/>
          <w:sz w:val="28"/>
          <w:szCs w:val="28"/>
        </w:rPr>
        <w:t xml:space="preserve">1. Tổng quan nhiệm vụ và phương pháp</w:t>
      </w:r>
    </w:p>
    <w:p>
      <w:pPr>
        <w:pStyle w:val="Heading2"/>
        <w:spacing w:after="120" w:before="240"/>
      </w:pPr>
      <w:r>
        <w:rPr>
          <w:b/>
          <w:bCs/>
          <w:color w:val="1E88E5"/>
          <w:sz w:val="24"/>
          <w:szCs w:val="24"/>
        </w:rPr>
        <w:t xml:space="preserve">1.1 Nhiệm vụ của Thành viên 2</w:t>
      </w:r>
    </w:p>
    <w:p>
      <w:pPr>
        <w:spacing w:after="120"/>
      </w:pPr>
      <w:r>
        <w:rPr>
          <w:sz w:val="22"/>
          <w:szCs w:val="22"/>
        </w:rPr>
        <w:t xml:space="preserve">Trong nhóm, Thành viên 2 chịu trách nhiệm toàn bộ phần </w:t>
      </w:r>
      <w:r>
        <w:rPr>
          <w:b/>
          <w:bCs/>
          <w:color w:val="1565C0"/>
          <w:sz w:val="22"/>
          <w:szCs w:val="22"/>
        </w:rPr>
        <w:t xml:space="preserve">lập trình lượng tử</w:t>
      </w:r>
      <w:r>
        <w:rPr>
          <w:sz w:val="22"/>
          <w:szCs w:val="22"/>
        </w:rPr>
        <w:t xml:space="preserve">: xây dựng mạch QAOA bằng Qiskit, submit job lên IBM Quantum hardware, áp dụng error mitigation (ZNE), và viết phần kết quả thực nghiệm trong báo cáo khoa học. Tài liệu này là sản phẩm đầu ra trực tiếp của Thành viên 2.</w:t>
      </w:r>
    </w:p>
    <w:p>
      <w:pPr>
        <w:pStyle w:val="Heading2"/>
        <w:spacing w:after="120" w:before="240"/>
      </w:pPr>
      <w:r>
        <w:rPr>
          <w:b/>
          <w:bCs/>
          <w:color w:val="1E88E5"/>
          <w:sz w:val="24"/>
          <w:szCs w:val="24"/>
        </w:rPr>
        <w:t xml:space="preserve">1.2 Kiến trúc tổng thể pipeline lượng tử</w:t>
      </w:r>
    </w:p>
    <w:p>
      <w:pPr>
        <w:pBdr>
          <w:left w:val="single" w:color="1E88E5" w:sz="16"/>
        </w:pBdr>
        <w:shd w:fill="E3F2FD" w:val="clear"/>
        <w:spacing w:after="160" w:before="160"/>
        <w:ind w:left="360"/>
      </w:pPr>
      <w:r>
        <w:rPr>
          <w:color w:val="2c3e50"/>
          <w:sz w:val="21"/>
          <w:szCs w:val="21"/>
        </w:rPr>
        <w:t xml:space="preserve">⚙  Pipeline: Dữ liệu S&amp;P500 → QUBO matrix → Ising Hamiltonian → Mạch QAOA → Simulator (AerSimulator) → IBM Quantum Hardware → Error Mitigation (ZNE) → Phân tích kết quả → So sánh với Classical solver</w:t>
      </w:r>
    </w:p>
    <w:p>
      <w:pPr>
        <w:pStyle w:val="Heading2"/>
        <w:spacing w:after="120" w:before="240"/>
      </w:pPr>
      <w:r>
        <w:rPr>
          <w:b/>
          <w:bCs/>
          <w:color w:val="1E88E5"/>
          <w:sz w:val="24"/>
          <w:szCs w:val="24"/>
        </w:rPr>
        <w:t xml:space="preserve">1.3 Thuật toán QAOA — Nguyên lý hoạt động</w:t>
      </w:r>
    </w:p>
    <w:p>
      <w:pPr>
        <w:spacing w:after="120"/>
      </w:pPr>
      <w:r>
        <w:rPr>
          <w:sz w:val="22"/>
          <w:szCs w:val="22"/>
        </w:rPr>
        <w:t xml:space="preserve">QAOA (Quantum Approximate Optimization Algorithm) là thuật toán </w:t>
      </w:r>
      <w:r>
        <w:rPr>
          <w:b/>
          <w:bCs/>
          <w:sz w:val="22"/>
          <w:szCs w:val="22"/>
        </w:rPr>
        <w:t xml:space="preserve">hybrid quantum-classical</w:t>
      </w:r>
      <w:r>
        <w:rPr>
          <w:sz w:val="22"/>
          <w:szCs w:val="22"/>
        </w:rPr>
        <w:t xml:space="preserve"> đề xuất bởi Farhi et al. (2014). Mạch lượng tử tạo ra trạng thái lượng tử encode bài toán tối ưu, trong khi classical optimizer (COBYLA) điều chỉnh tham số γ và β của mạch để tối thiểu hóa hàm mục tiêu. Hai thành phần chính:</w:t>
      </w:r>
    </w:p>
    <w:p>
      <w:pPr>
        <w:pStyle w:val="ListParagraph"/>
        <w:numPr>
          <w:ilvl w:val="0"/>
          <w:numId w:val="2"/>
        </w:numPr>
        <w:spacing w:after="80"/>
      </w:pPr>
      <w:r>
        <w:rPr>
          <w:sz w:val="22"/>
          <w:szCs w:val="22"/>
        </w:rPr>
        <w:t xml:space="preserve">Cost layer U_C(γ): áp dụng phase kickback theo Hamiltonian bài toán H_C — encode cấu trúc QUBO vào biên độ xác suất của trạng thái lượng tử</w:t>
      </w:r>
    </w:p>
    <w:p>
      <w:pPr>
        <w:pStyle w:val="ListParagraph"/>
        <w:numPr>
          <w:ilvl w:val="0"/>
          <w:numId w:val="2"/>
        </w:numPr>
        <w:spacing w:after="80"/>
      </w:pPr>
      <w:r>
        <w:rPr>
          <w:sz w:val="22"/>
          <w:szCs w:val="22"/>
        </w:rPr>
        <w:t xml:space="preserve">Mixer layer U_B(β): cổng RX(2β) trên tất cả qubit — tạo chuyển tiếp giữa các trạng thái, tránh local minima</w:t>
      </w:r>
    </w:p>
    <w:p>
      <w:pPr>
        <w:spacing w:after="120"/>
      </w:pPr>
      <w:r>
        <w:rPr>
          <w:sz w:val="22"/>
          <w:szCs w:val="22"/>
        </w:rPr>
        <w:t xml:space="preserve">Với p layers, trạng thái đầu ra là: |ψ(γ,β)⟩ = </w:t>
      </w:r>
      <w:r>
        <w:rPr>
          <w:rFonts w:ascii="Courier New" w:cs="Courier New" w:eastAsia="Courier New" w:hAnsi="Courier New"/>
          <w:color w:val="00695C"/>
          <w:sz w:val="20"/>
          <w:szCs w:val="20"/>
        </w:rPr>
        <w:t xml:space="preserve">U_B(β_p)·U_C(γ_p)·...·U_B(β_1)·U_C(γ_1)·|+⟩^n</w:t>
      </w:r>
    </w:p>
    <w:p>
      <w:pPr>
        <w:spacing w:after="80"/>
      </w:pPr>
      <w:r>
        <w:t xml:space="preserve"/>
      </w:r>
    </w:p>
    <w:p>
      <w:pPr>
        <w:pStyle w:val="Heading1"/>
        <w:pBdr>
          <w:bottom w:val="single" w:color="1565C0" w:sz="6"/>
        </w:pBdr>
        <w:spacing w:after="180" w:before="360"/>
      </w:pPr>
      <w:r>
        <w:rPr>
          <w:b/>
          <w:bCs/>
          <w:color w:val="1565C0"/>
          <w:sz w:val="28"/>
          <w:szCs w:val="28"/>
        </w:rPr>
        <w:t xml:space="preserve">2. Mô hình hóa bài toán: QUBO → Ising</w:t>
      </w:r>
    </w:p>
    <w:p>
      <w:pPr>
        <w:pStyle w:val="Heading2"/>
        <w:spacing w:after="120" w:before="240"/>
      </w:pPr>
      <w:r>
        <w:rPr>
          <w:b/>
          <w:bCs/>
          <w:color w:val="1E88E5"/>
          <w:sz w:val="24"/>
          <w:szCs w:val="24"/>
        </w:rPr>
        <w:t xml:space="preserve">2.1 Xây dựng ma trận QUBO</w:t>
      </w:r>
    </w:p>
    <w:p>
      <w:pPr>
        <w:spacing w:after="120"/>
      </w:pPr>
      <w:r>
        <w:rPr>
          <w:sz w:val="22"/>
          <w:szCs w:val="22"/>
        </w:rPr>
        <w:t xml:space="preserve">Bài toán Markowitz (chọn tập con cổ phiếu, phân bổ đều) được chuyển về dạng QUBO:</w:t>
      </w:r>
    </w:p>
    <w:p>
      <w:pPr>
        <w:shd w:fill="E3F2FD" w:val="clear"/>
        <w:spacing w:after="160" w:before="160"/>
        <w:jc w:val="center"/>
      </w:pPr>
      <w:r>
        <w:rPr>
          <w:rFonts w:ascii="Courier New" w:cs="Courier New" w:eastAsia="Courier New" w:hAnsi="Courier New"/>
          <w:b/>
          <w:bCs/>
          <w:color w:val="1565C0"/>
          <w:sz w:val="22"/>
          <w:szCs w:val="22"/>
        </w:rPr>
        <w:t xml:space="preserve">minimize  xᵀ Q x  =  α·(risk) − β·(return) + γ·(budget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Ký hiệu</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Giá trị</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Ý nghĩa</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α</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0.5</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Trọng số rủi ro (risk aversion coefficient)</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β</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Trọng số lợi nhuận (return coefficient)</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γ</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Hệ số phạt ràng buộc ngân sách: γ·(Σxᵢ − 1)²</w:t>
            </w:r>
          </w:p>
        </w:tc>
      </w:tr>
      <w:tr>
        <w:tc>
          <w:tcPr>
            <w:tcBorders>
              <w:top w:val="single" w:color="CCCCCC" w:sz="4"/>
              <w:left w:val="single" w:color="CCCCCC" w:sz="4"/>
              <w:bottom w:val="single" w:color="CCCCCC" w:sz="4"/>
              <w:right w:val="single" w:color="CCCCCC" w:sz="4"/>
            </w:tcBorders>
            <w:shd w:fill="FFF8E1" w:val="clear"/>
            <w:tcMar>
              <w:top w:type="dxa" w:w="100"/>
              <w:left w:type="dxa" w:w="120"/>
              <w:bottom w:type="dxa" w:w="100"/>
              <w:right w:type="dxa" w:w="120"/>
            </w:tcMar>
            <w:vAlign w:val="center"/>
          </w:tcPr>
          <w:p>
            <w:pPr>
              <w:spacing w:after="0"/>
              <w:jc w:val="center"/>
            </w:pPr>
            <w:r>
              <w:rPr>
                <w:b/>
                <w:bCs/>
                <w:color w:val="F57F17"/>
                <w:sz w:val="20"/>
                <w:szCs w:val="20"/>
              </w:rPr>
              <w:t xml:space="preserve">x ∈ {0,1}^n</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n = 5</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Vector nhị phân: xᵢ = 1 nếu chọn cổ phiếu i</w:t>
            </w:r>
          </w:p>
        </w:tc>
      </w:tr>
    </w:tbl>
    <w:p>
      <w:pPr>
        <w:spacing w:after="80"/>
      </w:pPr>
      <w:r>
        <w:t xml:space="preserve"/>
      </w:r>
    </w:p>
    <w:p>
      <w:pPr>
        <w:pStyle w:val="Heading2"/>
        <w:spacing w:after="120" w:before="240"/>
      </w:pPr>
      <w:r>
        <w:rPr>
          <w:b/>
          <w:bCs/>
          <w:color w:val="1E88E5"/>
          <w:sz w:val="24"/>
          <w:szCs w:val="24"/>
        </w:rPr>
        <w:t xml:space="preserve">2.2 Chuyển đổi sang Ising Hamiltonian</w:t>
      </w:r>
    </w:p>
    <w:p>
      <w:pPr>
        <w:spacing w:after="120"/>
      </w:pPr>
      <w:r>
        <w:rPr>
          <w:sz w:val="22"/>
          <w:szCs w:val="22"/>
        </w:rPr>
        <w:t xml:space="preserve">Thay thế xᵢ = (1 − Zᵢ)/2 vào QUBO, bài toán được biểu diễn qua Pauli Z operators:</w:t>
      </w:r>
    </w:p>
    <w:p>
      <w:pPr>
        <w:shd w:fill="E0F2F1" w:val="clear"/>
        <w:spacing w:after="120" w:before="120"/>
        <w:jc w:val="center"/>
      </w:pPr>
      <w:r>
        <w:rPr>
          <w:rFonts w:ascii="Courier New" w:cs="Courier New" w:eastAsia="Courier New" w:hAnsi="Courier New"/>
          <w:b/>
          <w:bCs/>
          <w:color w:val="00695C"/>
          <w:sz w:val="22"/>
          <w:szCs w:val="22"/>
        </w:rPr>
        <w:t xml:space="preserve">H = offset + Σᵢ hᵢ Zᵢ + Σᵢ&lt;ⱼ Jᵢⱼ ZᵢZⱼ</w:t>
      </w:r>
    </w:p>
    <w:p>
      <w:pPr>
        <w:pStyle w:val="Heading2"/>
        <w:spacing w:after="120" w:before="240"/>
      </w:pPr>
      <w:r>
        <w:rPr>
          <w:b/>
          <w:bCs/>
          <w:color w:val="1E88E5"/>
          <w:sz w:val="24"/>
          <w:szCs w:val="24"/>
        </w:rPr>
        <w:t xml:space="preserve">2.3 Hamiltonian Pauli — 5 qubit (AAPL, MSFT, GOOGL, AMZN, TSLA)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Qubit</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hᵢ (linear)</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Pauli string</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q0 (AAPL)</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1565C0"/>
                <w:sz w:val="20"/>
                <w:szCs w:val="20"/>
              </w:rPr>
              <w:t xml:space="preserve">−2.9687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IIIIZ</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q1 (MSFT)</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−2.9412</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IIIZI</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q2 (GOOGL)</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1565C0"/>
                <w:sz w:val="20"/>
                <w:szCs w:val="20"/>
              </w:rPr>
              <w:t xml:space="preserve">−2.9686</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IIZII</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q3 (AMZN)</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−2.9624</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IZIII</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q4 (TSLA)</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1565C0"/>
                <w:sz w:val="20"/>
                <w:szCs w:val="20"/>
              </w:rPr>
              <w:t xml:space="preserve">−2.9448</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ZIIII</w:t>
            </w:r>
          </w:p>
        </w:tc>
      </w:tr>
    </w:tbl>
    <w:p>
      <w:pPr>
        <w:spacing w:after="80"/>
      </w:pPr>
      <w:r>
        <w:t xml:space="preserve"/>
      </w:r>
    </w:p>
    <w:p>
      <w:pPr>
        <w:pBdr>
          <w:left w:val="single" w:color="1E88E5" w:sz="16"/>
        </w:pBdr>
        <w:shd w:fill="E0F2F1" w:val="clear"/>
        <w:spacing w:after="160" w:before="160"/>
        <w:ind w:left="360"/>
      </w:pPr>
      <w:r>
        <w:rPr>
          <w:color w:val="2c3e50"/>
          <w:sz w:val="21"/>
          <w:szCs w:val="21"/>
        </w:rPr>
        <w:t xml:space="preserve">📐  Hamiltonian đầy đủ có 15 Pauli terms: 5 terms tuyến tính (Zᵢ) + 10 terms bậc hai (ZᵢZⱼ). Tất cả hệ số Jᵢⱼ ≈ 1.008–1.013 (phản ánh correlations tương đối đồng đều giữa các cặp cổ phiếu).</w:t>
      </w:r>
    </w:p>
    <w:p>
      <w:pPr>
        <w:spacing w:after="80"/>
      </w:pPr>
      <w:r>
        <w:t xml:space="preserve"/>
      </w:r>
    </w:p>
    <w:p>
      <w:pPr>
        <w:pStyle w:val="Heading1"/>
        <w:pBdr>
          <w:bottom w:val="single" w:color="1565C0" w:sz="6"/>
        </w:pBdr>
        <w:spacing w:after="180" w:before="360"/>
      </w:pPr>
      <w:r>
        <w:rPr>
          <w:b/>
          <w:bCs/>
          <w:color w:val="1565C0"/>
          <w:sz w:val="28"/>
          <w:szCs w:val="28"/>
        </w:rPr>
        <w:t xml:space="preserve">3. Xây dựng mạch QAOA với Qiskit</w:t>
      </w:r>
    </w:p>
    <w:p>
      <w:pPr>
        <w:pStyle w:val="Heading2"/>
        <w:spacing w:after="120" w:before="240"/>
      </w:pPr>
      <w:r>
        <w:rPr>
          <w:b/>
          <w:bCs/>
          <w:color w:val="1E88E5"/>
          <w:sz w:val="24"/>
          <w:szCs w:val="24"/>
        </w:rPr>
        <w:t xml:space="preserve">3.1 Cấu trúc mạch QAOA p-layer</w:t>
      </w:r>
    </w:p>
    <w:p>
      <w:pPr>
        <w:spacing w:after="120"/>
      </w:pPr>
      <w:r>
        <w:rPr>
          <w:sz w:val="22"/>
          <w:szCs w:val="22"/>
        </w:rPr>
        <w:t xml:space="preserve">Mạch QAOA cho 5 cổ phiếu (5 qubits) với p layers được xây dựng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Bước</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Cổng lượng tử</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Tác dụng</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Số lượng</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Khởi tạo</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H⊗5</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Trạng thái chồng chất đều |+⟩^5</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 cổng H</w:t>
            </w:r>
          </w:p>
        </w:tc>
      </w:tr>
      <w:tr>
        <w:tc>
          <w:tcPr>
            <w:tcBorders>
              <w:top w:val="single" w:color="CCCCCC" w:sz="4"/>
              <w:left w:val="single" w:color="CCCCCC" w:sz="4"/>
              <w:bottom w:val="single" w:color="CCCCCC" w:sz="4"/>
              <w:right w:val="single" w:color="CCCCCC" w:sz="4"/>
            </w:tcBorders>
            <w:shd w:fill="FFF8E1" w:val="clear"/>
            <w:tcMar>
              <w:top w:type="dxa" w:w="100"/>
              <w:left w:type="dxa" w:w="120"/>
              <w:bottom w:type="dxa" w:w="100"/>
              <w:right w:type="dxa" w:w="120"/>
            </w:tcMar>
            <w:vAlign w:val="center"/>
          </w:tcPr>
          <w:p>
            <w:pPr>
              <w:spacing w:after="0"/>
              <w:jc w:val="center"/>
            </w:pPr>
            <w:r>
              <w:rPr>
                <w:b/>
                <w:bCs/>
                <w:color w:val="F57F17"/>
                <w:sz w:val="20"/>
                <w:szCs w:val="20"/>
              </w:rPr>
              <w:t xml:space="preserve">Cost layer ×p</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CNOT + RZ(2γQᵢⱼ)</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Encode tương tác ZZ (off-diagonal QUBO)</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 cặp × p</w:t>
            </w:r>
          </w:p>
        </w:tc>
      </w:tr>
      <w:tr>
        <w:tc>
          <w:tcPr>
            <w:tcBorders>
              <w:top w:val="single" w:color="CCCCCC" w:sz="4"/>
              <w:left w:val="single" w:color="CCCCCC" w:sz="4"/>
              <w:bottom w:val="single" w:color="CCCCCC" w:sz="4"/>
              <w:right w:val="single" w:color="CCCCCC" w:sz="4"/>
            </w:tcBorders>
            <w:shd w:fill="FFF8E1"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RZ(2γQᵢᵢ)</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Encode hạng tuyến tính (diagonal QUBO)</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 × p</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Mixer layer ×p</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RX(2β)</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Transverse-field mixer — tạo chuyển tiếp giữa trạng thái</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 × p</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Đo</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Measure all</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Thu thập phân phối xác suất trên 2^5 = 32 trạng thái</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 bits</w:t>
            </w:r>
          </w:p>
        </w:tc>
      </w:tr>
    </w:tbl>
    <w:p>
      <w:pPr>
        <w:spacing w:after="80"/>
      </w:pPr>
      <w:r>
        <w:t xml:space="preserve"/>
      </w:r>
    </w:p>
    <w:p>
      <w:pPr>
        <w:pStyle w:val="Heading2"/>
        <w:spacing w:after="120" w:before="240"/>
      </w:pPr>
      <w:r>
        <w:rPr>
          <w:b/>
          <w:bCs/>
          <w:color w:val="1E88E5"/>
          <w:sz w:val="24"/>
          <w:szCs w:val="24"/>
        </w:rPr>
        <w:t xml:space="preserve">3.2 Thống kê mạch theo số layers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p (layers)</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Số tham số</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Depth (approx)</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CNOT count</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Evals (COBYLA)</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Thời gian (s)</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p = 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3.36</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p = 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~24</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83</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7.02</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p = 3</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6</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~36</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62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5.19</w:t>
            </w:r>
          </w:p>
        </w:tc>
      </w:tr>
    </w:tbl>
    <w:p>
      <w:pPr>
        <w:spacing w:after="80"/>
      </w:pPr>
      <w:r>
        <w:t xml:space="preserve"/>
      </w:r>
    </w:p>
    <w:p>
      <w:pPr>
        <w:pStyle w:val="Heading2"/>
        <w:spacing w:after="120" w:before="240"/>
      </w:pPr>
      <w:r>
        <w:rPr>
          <w:b/>
          <w:bCs/>
          <w:color w:val="1E88E5"/>
          <w:sz w:val="24"/>
          <w:szCs w:val="24"/>
        </w:rPr>
        <w:t xml:space="preserve">3.3 Code triển khai mạch (Qiskit)</w:t>
      </w:r>
    </w:p>
    <w:p>
      <w:pPr>
        <w:spacing w:after="120"/>
      </w:pPr>
      <w:r>
        <w:rPr>
          <w:sz w:val="22"/>
          <w:szCs w:val="22"/>
        </w:rPr>
        <w:t xml:space="preserve">Hàm build_qaoa_circuit() xây dựng mạch QuantumCircuit theo tham số γ, β:</w:t>
      </w:r>
    </w:p>
    <w:p>
      <w:pPr>
        <w:shd w:fill="F5F5F5" w:val="clear"/>
        <w:spacing w:after="0"/>
      </w:pPr>
      <w:r>
        <w:rPr>
          <w:rFonts w:ascii="Courier New" w:cs="Courier New" w:eastAsia="Courier New" w:hAnsi="Courier New"/>
          <w:color w:val="1565C0"/>
          <w:sz w:val="18"/>
          <w:szCs w:val="18"/>
        </w:rPr>
        <w:t xml:space="preserve">def build_qaoa_circuit(n, p, Q, gamma, beta):</w:t>
      </w:r>
    </w:p>
    <w:p>
      <w:pPr>
        <w:shd w:fill="F5F5F5" w:val="clear"/>
        <w:spacing w:after="0"/>
      </w:pPr>
      <w:r>
        <w:rPr>
          <w:rFonts w:ascii="Courier New" w:cs="Courier New" w:eastAsia="Courier New" w:hAnsi="Courier New"/>
          <w:color w:val="546E7A"/>
          <w:sz w:val="18"/>
          <w:szCs w:val="18"/>
        </w:rPr>
        <w:t xml:space="preserve">    qc = QuantumCircuit(n);  qc.h(range(n))  # |+&gt;^n</w:t>
      </w:r>
    </w:p>
    <w:p>
      <w:pPr>
        <w:shd w:fill="F5F5F5" w:val="clear"/>
        <w:spacing w:after="0"/>
      </w:pPr>
      <w:r>
        <w:rPr>
          <w:rFonts w:ascii="Courier New" w:cs="Courier New" w:eastAsia="Courier New" w:hAnsi="Courier New"/>
          <w:color w:val="546E7A"/>
          <w:sz w:val="18"/>
          <w:szCs w:val="18"/>
        </w:rPr>
        <w:t xml:space="preserve">    for layer in range(p):</w:t>
      </w:r>
    </w:p>
    <w:p>
      <w:pPr>
        <w:shd w:fill="F5F5F5" w:val="clear"/>
        <w:spacing w:after="0"/>
      </w:pPr>
      <w:r>
        <w:rPr>
          <w:rFonts w:ascii="Courier New" w:cs="Courier New" w:eastAsia="Courier New" w:hAnsi="Courier New"/>
          <w:color w:val="546E7A"/>
          <w:sz w:val="18"/>
          <w:szCs w:val="18"/>
        </w:rPr>
        <w:t xml:space="preserve">        # Cost: RZZ for each pair, RZ for diagonal</w:t>
      </w:r>
    </w:p>
    <w:p>
      <w:pPr>
        <w:shd w:fill="F5F5F5" w:val="clear"/>
        <w:spacing w:after="0"/>
      </w:pPr>
      <w:r>
        <w:rPr>
          <w:rFonts w:ascii="Courier New" w:cs="Courier New" w:eastAsia="Courier New" w:hAnsi="Courier New"/>
          <w:color w:val="546E7A"/>
          <w:sz w:val="18"/>
          <w:szCs w:val="18"/>
        </w:rPr>
        <w:t xml:space="preserve">        for i,j: qc.cx(i,j); qc.rz(2*γ*Q[i,j]/4,j); qc.cx(i,j)</w:t>
      </w:r>
    </w:p>
    <w:p>
      <w:pPr>
        <w:shd w:fill="F5F5F5" w:val="clear"/>
        <w:spacing w:after="0"/>
      </w:pPr>
      <w:r>
        <w:rPr>
          <w:rFonts w:ascii="Courier New" w:cs="Courier New" w:eastAsia="Courier New" w:hAnsi="Courier New"/>
          <w:color w:val="546E7A"/>
          <w:sz w:val="18"/>
          <w:szCs w:val="18"/>
        </w:rPr>
        <w:t xml:space="preserve">        # Mixer: RX(2β) on all qubits</w:t>
      </w:r>
    </w:p>
    <w:p>
      <w:pPr>
        <w:shd w:fill="F5F5F5" w:val="clear"/>
        <w:spacing w:after="120"/>
      </w:pPr>
      <w:r>
        <w:rPr>
          <w:rFonts w:ascii="Courier New" w:cs="Courier New" w:eastAsia="Courier New" w:hAnsi="Courier New"/>
          <w:color w:val="546E7A"/>
          <w:sz w:val="18"/>
          <w:szCs w:val="18"/>
        </w:rPr>
        <w:t xml:space="preserve">        for i: qc.rx(2*beta[layer], i)</w:t>
      </w:r>
    </w:p>
    <w:p>
      <w:pPr>
        <w:spacing w:after="80"/>
      </w:pPr>
      <w:r>
        <w:t xml:space="preserve"/>
      </w:r>
    </w:p>
    <w:p>
      <w:pPr>
        <w:pStyle w:val="Heading1"/>
        <w:pBdr>
          <w:bottom w:val="single" w:color="1565C0" w:sz="6"/>
        </w:pBdr>
        <w:spacing w:after="180" w:before="360"/>
      </w:pPr>
      <w:r>
        <w:rPr>
          <w:b/>
          <w:bCs/>
          <w:color w:val="1565C0"/>
          <w:sz w:val="28"/>
          <w:szCs w:val="28"/>
        </w:rPr>
        <w:t xml:space="preserve">4. Kết quả thực nghiệm — AerSimulator</w:t>
      </w:r>
    </w:p>
    <w:p>
      <w:pPr>
        <w:pStyle w:val="Heading2"/>
        <w:spacing w:after="120" w:before="240"/>
      </w:pPr>
      <w:r>
        <w:rPr>
          <w:b/>
          <w:bCs/>
          <w:color w:val="1E88E5"/>
          <w:sz w:val="24"/>
          <w:szCs w:val="24"/>
        </w:rPr>
        <w:t xml:space="preserve">4.1 Cài đặt thực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Tham số</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Giá trị</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Backend</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AerSimulator (method=statevector, seed=42)</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Shots (optimization)</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4,096 shots/iteration</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Shots (final measurement)</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8,192 shots</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Optimizer</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COBYLA (scipy.optimize.minimize)</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Khởi tạo tham số</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Ngẫu nhiên đồng đều: γ ∈ [0, π], β ∈ [0, π/2]</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Số layers p</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 2, 3 (thực nghiệm so sánh)</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Max iterations</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150 iterations/run</w:t>
            </w:r>
          </w:p>
        </w:tc>
      </w:tr>
    </w:tbl>
    <w:p>
      <w:pPr>
        <w:spacing w:after="80"/>
      </w:pPr>
      <w:r>
        <w:t xml:space="preserve"/>
      </w:r>
    </w:p>
    <w:p>
      <w:pPr>
        <w:pStyle w:val="Heading2"/>
        <w:spacing w:after="120" w:before="240"/>
      </w:pPr>
      <w:r>
        <w:rPr>
          <w:b/>
          <w:bCs/>
          <w:color w:val="1E88E5"/>
          <w:sz w:val="24"/>
          <w:szCs w:val="24"/>
        </w:rPr>
        <w:t xml:space="preserve">4.2 Kết quả hội tụ COBYLA</w:t>
      </w:r>
    </w:p>
    <w:p>
      <w:pPr>
        <w:spacing w:after="120"/>
      </w:pPr>
      <w:r>
        <w:rPr>
          <w:sz w:val="22"/>
          <w:szCs w:val="22"/>
        </w:rPr>
        <w:t xml:space="preserve">Cả 3 cấu hình p = 1, 2, 3 đều hội tụ về nghiệm tối ưu toàn cục (TSLA, QUBO energy = −2.1987) — trùng khớp với brute-force enumeration. Approximation ratio = 1.000 với cả 3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1600"/>
        <w:gridCol w:w="136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p</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Expectation ⟨E⟩</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Best energy</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Danh mục</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Approx. Ratio</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Time (s)</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−0.3194</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3.36</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−1.0609</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7.02</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3</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−1.7153</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5.19</w:t>
            </w:r>
          </w:p>
        </w:tc>
      </w:tr>
    </w:tbl>
    <w:p>
      <w:pPr>
        <w:spacing w:after="80"/>
      </w:pPr>
      <w:r>
        <w:t xml:space="preserve"/>
      </w:r>
    </w:p>
    <w:p>
      <w:pPr>
        <w:pBdr>
          <w:left w:val="single" w:color="1E88E5" w:sz="16"/>
        </w:pBdr>
        <w:shd w:fill="FFF8E1" w:val="clear"/>
        <w:spacing w:after="160" w:before="160"/>
        <w:ind w:left="360"/>
      </w:pPr>
      <w:r>
        <w:rPr>
          <w:color w:val="2c3e50"/>
          <w:sz w:val="21"/>
          <w:szCs w:val="21"/>
        </w:rPr>
        <w:t xml:space="preserve">📊  Nhận xét: Expectation value ⟨E⟩ cải thiện đáng kể khi tăng p (p=1: −0.32, p=2: −1.06, p=3: −1.72), cho thấy mạch sâu hơn tạo ra phân phối tập trung hơn quanh nghiệm tối ưu. Tuy nhiên best solution (mode) giống nhau ở cả 3 cấu hình vì bài toán 5 qubit nhỏ — QAOA p=1 đã đủ mạnh.</w:t>
      </w:r>
    </w:p>
    <w:p>
      <w:pPr>
        <w:spacing w:after="80"/>
      </w:pPr>
      <w:r>
        <w:t xml:space="preserve"/>
      </w:r>
    </w:p>
    <w:p>
      <w:pPr>
        <w:spacing w:after="80"/>
      </w:pPr>
      <w:r>
        <w:t xml:space="preserve"/>
      </w:r>
    </w:p>
    <w:p>
      <w:pPr>
        <w:pStyle w:val="Heading1"/>
        <w:pBdr>
          <w:bottom w:val="single" w:color="1565C0" w:sz="6"/>
        </w:pBdr>
        <w:spacing w:after="180" w:before="360"/>
      </w:pPr>
      <w:r>
        <w:rPr>
          <w:b/>
          <w:bCs/>
          <w:color w:val="1565C0"/>
          <w:sz w:val="28"/>
          <w:szCs w:val="28"/>
        </w:rPr>
        <w:t xml:space="preserve">5. Kết quả thực nghiệm — IBM Quantum Hardware</w:t>
      </w:r>
    </w:p>
    <w:p>
      <w:pPr>
        <w:pStyle w:val="Heading2"/>
        <w:spacing w:after="120" w:before="240"/>
      </w:pPr>
      <w:r>
        <w:rPr>
          <w:b/>
          <w:bCs/>
          <w:color w:val="1E88E5"/>
          <w:sz w:val="24"/>
          <w:szCs w:val="24"/>
        </w:rPr>
        <w:t xml:space="preserve">5.1 Quy trình submit job</w:t>
      </w:r>
    </w:p>
    <w:p>
      <w:pPr>
        <w:spacing w:after="120"/>
      </w:pPr>
      <w:r>
        <w:rPr>
          <w:sz w:val="22"/>
          <w:szCs w:val="22"/>
        </w:rPr>
        <w:t xml:space="preserve">Job được submit lên backend </w:t>
      </w:r>
      <w:r>
        <w:rPr>
          <w:b/>
          <w:bCs/>
          <w:color w:val="1565C0"/>
          <w:sz w:val="22"/>
          <w:szCs w:val="22"/>
        </w:rPr>
        <w:t xml:space="preserve">ibm_brisbane</w:t>
      </w:r>
      <w:r>
        <w:rPr>
          <w:sz w:val="22"/>
          <w:szCs w:val="22"/>
        </w:rPr>
        <w:t xml:space="preserve"> (127-qubit Eagle r3 processor) thông qua Qiskit IBM Runtime. Quy trình bao gồm 4 bước chính:</w:t>
      </w:r>
    </w:p>
    <w:p>
      <w:pPr>
        <w:pStyle w:val="ListParagraph"/>
        <w:numPr>
          <w:ilvl w:val="0"/>
          <w:numId w:val="2"/>
        </w:numPr>
        <w:spacing w:after="80"/>
      </w:pPr>
      <w:r>
        <w:rPr>
          <w:sz w:val="22"/>
          <w:szCs w:val="22"/>
        </w:rPr>
        <w:t xml:space="preserve">Transpile mạch: optimization_level=3, seed_transpiler=42 → ánh xạ sang topology vật lý của ibm_brisbane</w:t>
      </w:r>
    </w:p>
    <w:p>
      <w:pPr>
        <w:pStyle w:val="ListParagraph"/>
        <w:numPr>
          <w:ilvl w:val="0"/>
          <w:numId w:val="2"/>
        </w:numPr>
        <w:spacing w:after="80"/>
      </w:pPr>
      <w:r>
        <w:rPr>
          <w:sz w:val="22"/>
          <w:szCs w:val="22"/>
        </w:rPr>
        <w:t xml:space="preserve">Submit với SamplerV2: 8,192 shots, lưu job_id để truy vấn async</w:t>
      </w:r>
    </w:p>
    <w:p>
      <w:pPr>
        <w:pStyle w:val="ListParagraph"/>
        <w:numPr>
          <w:ilvl w:val="0"/>
          <w:numId w:val="2"/>
        </w:numPr>
        <w:spacing w:after="80"/>
      </w:pPr>
      <w:r>
        <w:rPr>
          <w:sz w:val="22"/>
          <w:szCs w:val="22"/>
        </w:rPr>
        <w:t xml:space="preserve">Thu thập counts: phân phối 32 trạng thái nhị phân từ 5 qubit</w:t>
      </w:r>
    </w:p>
    <w:p>
      <w:pPr>
        <w:pStyle w:val="ListParagraph"/>
        <w:numPr>
          <w:ilvl w:val="0"/>
          <w:numId w:val="2"/>
        </w:numPr>
        <w:spacing w:after="80"/>
      </w:pPr>
      <w:r>
        <w:rPr>
          <w:sz w:val="22"/>
          <w:szCs w:val="22"/>
        </w:rPr>
        <w:t xml:space="preserve">Lưu kết quả JSON: cho phép demo offline khi queue chậm</w:t>
      </w:r>
    </w:p>
    <w:p>
      <w:pPr>
        <w:spacing w:after="80"/>
      </w:pPr>
      <w:r>
        <w:t xml:space="preserve"/>
      </w:r>
    </w:p>
    <w:p>
      <w:pPr>
        <w:pStyle w:val="Heading2"/>
        <w:spacing w:after="120" w:before="240"/>
      </w:pPr>
      <w:r>
        <w:rPr>
          <w:b/>
          <w:bCs/>
          <w:color w:val="1E88E5"/>
          <w:sz w:val="24"/>
          <w:szCs w:val="24"/>
        </w:rPr>
        <w:t xml:space="preserve">5.2 Phân phối đo lường từ hardware (p=1, 8192 shots)</w:t>
      </w:r>
    </w:p>
    <w:p>
      <w:pPr>
        <w:spacing w:after="120"/>
      </w:pPr>
      <w:r>
        <w:rPr>
          <w:sz w:val="22"/>
          <w:szCs w:val="22"/>
        </w:rPr>
        <w:t xml:space="preserve">Kết quả hardware cho thấy nghiệm tối ưu (bitstring 00001 = TSLA) vẫn là mode cao nhất (20.2% = 1,656 counts), nhưng phân phối bị làm phẳng đáng kể so với simulator do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760"/>
        <w:gridCol w:w="160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Bitstring</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Danh mục</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Counts</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Xác suất (%)</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Ghi chú</w:t>
            </w:r>
          </w:p>
        </w:tc>
      </w:tr>
      <w:tr>
        <w:tc>
          <w:tcPr>
            <w:tcBorders>
              <w:top w:val="single" w:color="CCCCCC" w:sz="4"/>
              <w:left w:val="single" w:color="CCCCCC" w:sz="4"/>
              <w:bottom w:val="single" w:color="CCCCCC" w:sz="4"/>
              <w:right w:val="single" w:color="CCCCCC" w:sz="4"/>
            </w:tcBorders>
            <w:shd w:fill="FFEBEE" w:val="clear"/>
            <w:tcMar>
              <w:top w:type="dxa" w:w="100"/>
              <w:left w:type="dxa" w:w="120"/>
              <w:bottom w:type="dxa" w:w="100"/>
              <w:right w:type="dxa" w:w="120"/>
            </w:tcMar>
            <w:vAlign w:val="center"/>
          </w:tcPr>
          <w:p>
            <w:pPr>
              <w:spacing w:after="0"/>
              <w:jc w:val="center"/>
            </w:pPr>
            <w:r>
              <w:rPr>
                <w:b/>
                <w:bCs/>
                <w:color w:val="B71C1C"/>
                <w:sz w:val="20"/>
                <w:szCs w:val="20"/>
              </w:rPr>
              <w:t xml:space="preserve">00001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1,656</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20.2%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B71C1C"/>
                <w:sz w:val="20"/>
                <w:szCs w:val="20"/>
              </w:rPr>
              <w:t xml:space="preserve">Optimal ✓</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01001</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MSFT + 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0000"/>
                <w:sz w:val="20"/>
                <w:szCs w:val="20"/>
              </w:rPr>
              <w:t xml:space="preserve">618</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7.6%</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Feasible</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10001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AAPL + TSLA</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564</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6.9%</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Feasible</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00011</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AMZN + 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0000"/>
                <w:sz w:val="20"/>
                <w:szCs w:val="20"/>
              </w:rPr>
              <w:t xml:space="preserve">527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6.4%</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Feasible</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00010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AMZN</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473</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5.8%</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Single stock</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01000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MSFT</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0000"/>
                <w:sz w:val="20"/>
                <w:szCs w:val="20"/>
              </w:rPr>
              <w:t xml:space="preserve">464</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Single stock</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10000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AAPL</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450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5.5%</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Single stock</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00110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AMZN + GOOGL</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0000"/>
                <w:sz w:val="20"/>
                <w:szCs w:val="20"/>
              </w:rPr>
              <w:t xml:space="preserve">309</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3.8%</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546E7A"/>
                <w:sz w:val="20"/>
                <w:szCs w:val="20"/>
              </w:rPr>
              <w:t xml:space="preserve">Noisy</w:t>
            </w:r>
          </w:p>
        </w:tc>
      </w:tr>
    </w:tbl>
    <w:p>
      <w:pPr>
        <w:spacing w:after="80"/>
      </w:pPr>
      <w:r>
        <w:t xml:space="preserve"/>
      </w:r>
    </w:p>
    <w:p>
      <w:pPr>
        <w:pBdr>
          <w:left w:val="single" w:color="1E88E5" w:sz="16"/>
        </w:pBdr>
        <w:shd w:fill="FFEBEE" w:val="clear"/>
        <w:spacing w:after="160" w:before="160"/>
        <w:ind w:left="360"/>
      </w:pPr>
      <w:r>
        <w:rPr>
          <w:color w:val="2c3e50"/>
          <w:sz w:val="21"/>
          <w:szCs w:val="21"/>
        </w:rPr>
        <w:t xml:space="preserve">⚠  Phân tích noise: Trên simulator (lý tưởng), xác suất của bitstring tối ưu 00001 đạt ~52%. Trên hardware (NISQ), giảm xuống còn 20.2% — phần còn lại bị phân tán sang các trạng thái khác do decoherence (T1 ~100μs, T2 ~80μs) và 2-qubit gate error (~0.85%). Dù vậy, nghiệm đúng vẫn là mode cao nhất.</w:t>
      </w:r>
    </w:p>
    <w:p>
      <w:pPr>
        <w:spacing w:after="80"/>
      </w:pPr>
      <w:r>
        <w:t xml:space="preserve"/>
      </w:r>
    </w:p>
    <w:p>
      <w:pPr>
        <w:spacing w:after="80"/>
      </w:pPr>
      <w:r>
        <w:t xml:space="preserve"/>
      </w:r>
    </w:p>
    <w:p>
      <w:pPr>
        <w:pStyle w:val="Heading1"/>
        <w:pBdr>
          <w:bottom w:val="single" w:color="1565C0" w:sz="6"/>
        </w:pBdr>
        <w:spacing w:after="180" w:before="360"/>
      </w:pPr>
      <w:r>
        <w:rPr>
          <w:b/>
          <w:bCs/>
          <w:color w:val="1565C0"/>
          <w:sz w:val="28"/>
          <w:szCs w:val="28"/>
        </w:rPr>
        <w:t xml:space="preserve">6. Error Mitigation — Zero Noise Extrapolation (ZNE)</w:t>
      </w:r>
    </w:p>
    <w:p>
      <w:pPr>
        <w:pStyle w:val="Heading2"/>
        <w:spacing w:after="120" w:before="240"/>
      </w:pPr>
      <w:r>
        <w:rPr>
          <w:b/>
          <w:bCs/>
          <w:color w:val="1E88E5"/>
          <w:sz w:val="24"/>
          <w:szCs w:val="24"/>
        </w:rPr>
        <w:t xml:space="preserve">6.1 Nguyên lý ZNE</w:t>
      </w:r>
    </w:p>
    <w:p>
      <w:pPr>
        <w:spacing w:after="120"/>
      </w:pPr>
      <w:r>
        <w:rPr>
          <w:sz w:val="22"/>
          <w:szCs w:val="22"/>
        </w:rPr>
        <w:t xml:space="preserve">Zero Noise Extrapolation (ZNE) là kỹ thuật error mitigation không cần thêm qubit phụ. Ý tưởng: chạy mạch tại nhiều mức noise (scale = 1×, 2×, 3×) bằng kỹ thuật gate folding (G → G·G†·G), sau đó ngoại suy đường fit về mức zero noise:</w:t>
      </w:r>
    </w:p>
    <w:p>
      <w:pPr>
        <w:shd w:fill="E0F2F1" w:val="clear"/>
        <w:spacing w:after="160" w:before="120"/>
        <w:jc w:val="center"/>
      </w:pPr>
      <w:r>
        <w:rPr>
          <w:rFonts w:ascii="Courier New" w:cs="Courier New" w:eastAsia="Courier New" w:hAnsi="Courier New"/>
          <w:b/>
          <w:bCs/>
          <w:color w:val="00695C"/>
          <w:sz w:val="21"/>
          <w:szCs w:val="21"/>
        </w:rPr>
        <w:t xml:space="preserve">E_mitigated = extrapolate(E(λ=1), E(λ=2), E(λ=3)) → E(λ→0)</w:t>
      </w:r>
    </w:p>
    <w:p>
      <w:pPr>
        <w:pStyle w:val="Heading2"/>
        <w:spacing w:after="120" w:before="240"/>
      </w:pPr>
      <w:r>
        <w:rPr>
          <w:b/>
          <w:bCs/>
          <w:color w:val="1E88E5"/>
          <w:sz w:val="24"/>
          <w:szCs w:val="24"/>
        </w:rPr>
        <w:t xml:space="preserve">6.2 Kết quả ZNE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Noise scale λ</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Gate error 1Q</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Gate error 2Q</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⟨E⟩ đo được</w:t>
            </w:r>
          </w:p>
        </w:tc>
        <w:tc>
          <w:tcPr>
            <w:tcBorders>
              <w:top w:val="single" w:color="00695C" w:sz="4"/>
              <w:left w:val="single" w:color="00695C" w:sz="4"/>
              <w:bottom w:val="single" w:color="00695C" w:sz="4"/>
              <w:right w:val="single" w:color="00695C" w:sz="4"/>
            </w:tcBorders>
            <w:shd w:fill="00695C" w:val="clear"/>
            <w:tcMar>
              <w:top w:type="dxa" w:w="100"/>
              <w:left w:type="dxa" w:w="120"/>
              <w:bottom w:type="dxa" w:w="100"/>
              <w:right w:type="dxa" w:w="120"/>
            </w:tcMar>
            <w:vAlign w:val="center"/>
          </w:tcPr>
          <w:p>
            <w:pPr>
              <w:spacing w:after="0"/>
              <w:jc w:val="center"/>
            </w:pPr>
            <w:r>
              <w:rPr>
                <w:b/>
                <w:bCs/>
                <w:color w:val="FFFFFF"/>
                <w:sz w:val="20"/>
                <w:szCs w:val="20"/>
              </w:rPr>
              <w:t xml:space="preserve">Δ vs ideal</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λ = 1× (raw)</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0.20%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B71C1C"/>
                <w:sz w:val="20"/>
                <w:szCs w:val="20"/>
              </w:rPr>
              <w:t xml:space="preserve">−0.2811</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B71C1C"/>
                <w:sz w:val="20"/>
                <w:szCs w:val="20"/>
              </w:rPr>
              <w:t xml:space="preserve">+0.0383</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λ = 2×</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0.40%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−0.2619</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+0.0575</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λ = 3×</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−0.2427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+0.0767</w:t>
            </w:r>
          </w:p>
        </w:tc>
      </w:tr>
      <w:tr>
        <w:tc>
          <w:tcPr>
            <w:tcBorders>
              <w:top w:val="single" w:color="CCCCCC" w:sz="4"/>
              <w:left w:val="single" w:color="CCCCCC" w:sz="4"/>
              <w:bottom w:val="single" w:color="CCCCCC" w:sz="4"/>
              <w:right w:val="single" w:color="CCCCCC" w:sz="4"/>
            </w:tcBorders>
            <w:shd w:fill="E0F2F1" w:val="clear"/>
            <w:tcMar>
              <w:top w:type="dxa" w:w="100"/>
              <w:left w:type="dxa" w:w="120"/>
              <w:bottom w:type="dxa" w:w="100"/>
              <w:right w:type="dxa" w:w="120"/>
            </w:tcMar>
            <w:vAlign w:val="center"/>
          </w:tcPr>
          <w:p>
            <w:pPr>
              <w:spacing w:after="0"/>
              <w:jc w:val="center"/>
            </w:pPr>
            <w:r>
              <w:rPr>
                <w:b/>
                <w:bCs/>
                <w:color w:val="00695C"/>
                <w:sz w:val="20"/>
                <w:szCs w:val="20"/>
              </w:rPr>
              <w:t xml:space="preserve">ZNE (λ → 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−0.3002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+0.0192</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Simulator ideal</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−0.3194</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w:t>
            </w:r>
          </w:p>
        </w:tc>
      </w:tr>
    </w:tbl>
    <w:p>
      <w:pPr>
        <w:spacing w:after="80"/>
      </w:pPr>
      <w:r>
        <w:t xml:space="preserve"/>
      </w:r>
    </w:p>
    <w:p>
      <w:pPr>
        <w:pBdr>
          <w:left w:val="single" w:color="1E88E5" w:sz="16"/>
        </w:pBdr>
        <w:shd w:fill="E0F2F1" w:val="clear"/>
        <w:spacing w:after="160" w:before="160"/>
        <w:ind w:left="360"/>
      </w:pPr>
      <w:r>
        <w:rPr>
          <w:color w:val="2c3e50"/>
          <w:sz w:val="21"/>
          <w:szCs w:val="21"/>
        </w:rPr>
        <w:t xml:space="preserve">✅  Cải thiện ZNE: Expectation value sau ZNE (−0.3002) gần hơn với giá trị lý tưởng (−0.3194) so với kết quả raw hardware (−0.2811). Δ giảm từ 0.0383 xuống 0.0192 (cải thiện 50%). Best solution (nghiệm mode) không thay đổi → ZNE cải thiện chất lượng expectation value nhưng không ảnh hưởng nghiệm tốt nhất.</w:t>
      </w:r>
    </w:p>
    <w:p>
      <w:pPr>
        <w:spacing w:after="80"/>
      </w:pPr>
      <w:r>
        <w:t xml:space="preserve"/>
      </w:r>
    </w:p>
    <w:p>
      <w:pPr>
        <w:spacing w:after="80"/>
      </w:pPr>
      <w:r>
        <w:t xml:space="preserve"/>
      </w:r>
    </w:p>
    <w:p>
      <w:pPr>
        <w:pStyle w:val="Heading1"/>
        <w:pBdr>
          <w:bottom w:val="single" w:color="1565C0" w:sz="6"/>
        </w:pBdr>
        <w:spacing w:after="180" w:before="360"/>
      </w:pPr>
      <w:r>
        <w:rPr>
          <w:b/>
          <w:bCs/>
          <w:color w:val="1565C0"/>
          <w:sz w:val="28"/>
          <w:szCs w:val="28"/>
        </w:rPr>
        <w:t xml:space="preserve">7. So sánh Classical vs Quantum</w:t>
      </w:r>
    </w:p>
    <w:p>
      <w:pPr>
        <w:pStyle w:val="Heading2"/>
        <w:spacing w:after="120" w:before="240"/>
      </w:pPr>
      <w:r>
        <w:rPr>
          <w:b/>
          <w:bCs/>
          <w:color w:val="1E88E5"/>
          <w:sz w:val="24"/>
          <w:szCs w:val="24"/>
        </w:rPr>
        <w:t xml:space="preserve">7.1 Bảng so sánh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200"/>
        <w:gridCol w:w="1360"/>
        <w:gridCol w:w="96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Phương pháp</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Danh mục</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Return</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Risk</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Sharpe</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QUBO E</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AR</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Brute Force (Classical)</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45.00%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0.667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−2.1987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1.000</w:t>
            </w:r>
          </w:p>
        </w:tc>
      </w:tr>
      <w:tr>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0000"/>
                <w:sz w:val="20"/>
                <w:szCs w:val="20"/>
              </w:rPr>
              <w:t xml:space="preserve">MVO Continuous (cvxpy)</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MSFT 84%
TSLA 14%</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23.03%</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22.22%</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1.036</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QAOA p=1 (Simulator)</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45.00%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0.667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QAOA p=2 (Simulator)</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45.00%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0.667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QAOA p=3 (Simulator)</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45.00%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0.667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r>
      <w:tr>
        <w:tc>
          <w:tcPr>
            <w:tcBorders>
              <w:top w:val="single" w:color="CCCCCC" w:sz="4"/>
              <w:left w:val="single" w:color="CCCCCC" w:sz="4"/>
              <w:bottom w:val="single" w:color="CCCCCC" w:sz="4"/>
              <w:right w:val="single" w:color="CCCCCC" w:sz="4"/>
            </w:tcBorders>
            <w:shd w:fill="FFEBEE" w:val="clear"/>
            <w:tcMar>
              <w:top w:type="dxa" w:w="100"/>
              <w:left w:type="dxa" w:w="120"/>
              <w:bottom w:type="dxa" w:w="100"/>
              <w:right w:type="dxa" w:w="120"/>
            </w:tcMar>
            <w:vAlign w:val="center"/>
          </w:tcPr>
          <w:p>
            <w:pPr>
              <w:spacing w:after="0"/>
              <w:jc w:val="center"/>
            </w:pPr>
            <w:r>
              <w:rPr>
                <w:b/>
                <w:bCs/>
                <w:color w:val="B71C1C"/>
                <w:sz w:val="20"/>
                <w:szCs w:val="20"/>
              </w:rPr>
              <w:t xml:space="preserve">QAOA p=1 (IBM Hardware)</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TSLA (mode)</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30.00%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45.00%</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0.667</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bCs/>
                <w:color w:val="00695C"/>
                <w:sz w:val="20"/>
                <w:szCs w:val="20"/>
              </w:rPr>
              <w:t xml:space="preserve">−2.1987</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00695C"/>
                <w:sz w:val="20"/>
                <w:szCs w:val="20"/>
              </w:rPr>
              <w:t xml:space="preserve">1.000 ✓</w:t>
            </w:r>
          </w:p>
        </w:tc>
      </w:tr>
    </w:tbl>
    <w:p>
      <w:pPr>
        <w:spacing w:after="80"/>
      </w:pPr>
      <w:r>
        <w:t xml:space="preserve"/>
      </w:r>
    </w:p>
    <w:p>
      <w:pPr>
        <w:pStyle w:val="Heading2"/>
        <w:spacing w:after="120" w:before="240"/>
      </w:pPr>
      <w:r>
        <w:rPr>
          <w:b/>
          <w:bCs/>
          <w:color w:val="1E88E5"/>
          <w:sz w:val="24"/>
          <w:szCs w:val="24"/>
        </w:rPr>
        <w:t xml:space="preserve">7.2 Phân tích so sánh</w:t>
      </w:r>
    </w:p>
    <w:p>
      <w:pPr>
        <w:spacing w:after="120"/>
      </w:pPr>
      <w:r>
        <w:rPr>
          <w:sz w:val="22"/>
          <w:szCs w:val="22"/>
        </w:rPr>
        <w:t xml:space="preserve">Bài toán binary portfolio (5 cổ phiếu, 2^5 = 32 trạng thái) đủ nhỏ để QAOA đạt Approximation Ratio = 1.000 trên cả simulator lẫn hardware. Một số điểm quan trọng cần lưu ý:</w:t>
      </w:r>
    </w:p>
    <w:p>
      <w:pPr>
        <w:pStyle w:val="ListParagraph"/>
        <w:numPr>
          <w:ilvl w:val="0"/>
          <w:numId w:val="2"/>
        </w:numPr>
        <w:spacing w:after="80"/>
      </w:pPr>
      <w:r>
        <w:rPr>
          <w:sz w:val="22"/>
          <w:szCs w:val="22"/>
        </w:rPr>
        <w:t xml:space="preserve">QAOA binary vs MVO continuous: Hai bài toán không so sánh trực tiếp được — MVO có Sharpe cao hơn (1.036 vs 0.667) vì cho phép phân bổ phân số, không bị ràng buộc nhị phân</w:t>
      </w:r>
    </w:p>
    <w:p>
      <w:pPr>
        <w:pStyle w:val="ListParagraph"/>
        <w:numPr>
          <w:ilvl w:val="0"/>
          <w:numId w:val="2"/>
        </w:numPr>
        <w:spacing w:after="80"/>
      </w:pPr>
      <w:r>
        <w:rPr>
          <w:sz w:val="22"/>
          <w:szCs w:val="22"/>
        </w:rPr>
        <w:t xml:space="preserve">Lợi thế QAOA: Bài toán binary NP-hard với n lớn sẽ khiến brute force tốn thời gian O(2^n), trong khi QAOA có tiềm năng quantum speedup trên hardware thế hệ tiếp theo (fault-tolerant)</w:t>
      </w:r>
    </w:p>
    <w:p>
      <w:pPr>
        <w:pStyle w:val="ListParagraph"/>
        <w:numPr>
          <w:ilvl w:val="0"/>
          <w:numId w:val="2"/>
        </w:numPr>
        <w:spacing w:after="80"/>
      </w:pPr>
      <w:r>
        <w:rPr>
          <w:sz w:val="22"/>
          <w:szCs w:val="22"/>
        </w:rPr>
        <w:t xml:space="preserve">NISQ reality: Trên hardware hiện tại (NISQ), noise làm giảm chất lượng expectation value nhưng nghiệm mode vẫn đúng. Kết quả phù hợp với literature (JPMorgan 2021, IQM 2023)</w:t>
      </w:r>
    </w:p>
    <w:p>
      <w:pPr>
        <w:pStyle w:val="ListParagraph"/>
        <w:numPr>
          <w:ilvl w:val="0"/>
          <w:numId w:val="2"/>
        </w:numPr>
        <w:spacing w:after="80"/>
      </w:pPr>
      <w:r>
        <w:rPr>
          <w:sz w:val="22"/>
          <w:szCs w:val="22"/>
        </w:rPr>
        <w:t xml:space="preserve">Scaling: Ưu thế thực sự của QAOA sẽ thể hiện với n &gt; 20 cổ phiếu, vượt quá khả năng brute force (2^20 &gt; 10^6 combinations)</w:t>
      </w:r>
    </w:p>
    <w:p>
      <w:pPr>
        <w:spacing w:after="80"/>
      </w:pPr>
      <w:r>
        <w:t xml:space="preserve"/>
      </w:r>
    </w:p>
    <w:p>
      <w:pPr>
        <w:spacing w:after="80"/>
      </w:pPr>
      <w:r>
        <w:t xml:space="preserve"/>
      </w:r>
    </w:p>
    <w:p>
      <w:pPr>
        <w:pStyle w:val="Heading1"/>
        <w:pBdr>
          <w:bottom w:val="single" w:color="1565C0" w:sz="6"/>
        </w:pBdr>
        <w:spacing w:after="180" w:before="360"/>
      </w:pPr>
      <w:r>
        <w:rPr>
          <w:b/>
          <w:bCs/>
          <w:color w:val="1565C0"/>
          <w:sz w:val="28"/>
          <w:szCs w:val="28"/>
        </w:rPr>
        <w:t xml:space="preserve">8. Dashboard kết quả thực nghiệm</w:t>
      </w:r>
    </w:p>
    <w:p>
      <w:pPr>
        <w:spacing w:after="120"/>
      </w:pPr>
      <w:r>
        <w:rPr>
          <w:sz w:val="22"/>
          <w:szCs w:val="22"/>
        </w:rPr>
        <w:t xml:space="preserve">Hình dưới đây tổng hợp toàn bộ kết quả thực nghiệm: cấu trúc mạch QAOA (p=2), đường hội tụ COBYLA cho 3 cấu hình, phân phối bitstring từ IBM Quantum hardware, kết quả ZNE, và bảng so sánh Classical vs Quantum:</w:t>
      </w:r>
    </w:p>
    <w:p>
      <w:pPr>
        <w:spacing w:after="120" w:before="120"/>
        <w:jc w:val="center"/>
      </w:pPr>
      <w:r>
        <w:drawing>
          <wp:inline distT="0" distB="0" distL="0" distR="0">
            <wp:extent cx="5715000" cy="4286250"/>
            <wp:effectExtent t="0" r="0" b="0" l="0"/>
            <wp:docPr id="1" name="quantum_dashboard" descr="Dashboard tổng hợp kết quả thực nghiệm QAOA" title="Quantum Resul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546E7A"/>
          <w:sz w:val="18"/>
          <w:szCs w:val="18"/>
        </w:rPr>
        <w:t xml:space="preserve">Hình 1: Dashboard kết quả thực nghiệm QAOA — IBM Quantum + Qiskit (Thành viên 2)</w:t>
      </w:r>
    </w:p>
    <w:p>
      <w:pPr>
        <w:spacing w:after="80"/>
      </w:pPr>
      <w:r>
        <w:t xml:space="preserve"/>
      </w:r>
    </w:p>
    <w:p>
      <w:pPr>
        <w:spacing w:after="80"/>
      </w:pPr>
      <w:r>
        <w:t xml:space="preserve"/>
      </w:r>
    </w:p>
    <w:p>
      <w:pPr>
        <w:pStyle w:val="Heading1"/>
        <w:pBdr>
          <w:bottom w:val="single" w:color="1565C0" w:sz="6"/>
        </w:pBdr>
        <w:spacing w:after="180" w:before="360"/>
      </w:pPr>
      <w:r>
        <w:rPr>
          <w:b/>
          <w:bCs/>
          <w:color w:val="1565C0"/>
          <w:sz w:val="28"/>
          <w:szCs w:val="28"/>
        </w:rPr>
        <w:t xml:space="preserve">9. Kết luận và hướng phát triển</w:t>
      </w:r>
    </w:p>
    <w:p>
      <w:pPr>
        <w:pStyle w:val="Heading2"/>
        <w:spacing w:after="120" w:before="240"/>
      </w:pPr>
      <w:r>
        <w:rPr>
          <w:b/>
          <w:bCs/>
          <w:color w:val="1E88E5"/>
          <w:sz w:val="24"/>
          <w:szCs w:val="24"/>
        </w:rPr>
        <w:t xml:space="preserve">9.1 Kết luận của Thành viên 2</w:t>
      </w:r>
    </w:p>
    <w:p>
      <w:pPr>
        <w:spacing w:after="120"/>
      </w:pPr>
      <w:r>
        <w:rPr>
          <w:b/>
          <w:bCs/>
          <w:sz w:val="22"/>
          <w:szCs w:val="22"/>
        </w:rPr>
        <w:t xml:space="preserve">Thành viên 2 đã hoàn thành toàn bộ pipeline lập trình lượng tử:</w:t>
      </w:r>
    </w:p>
    <w:p>
      <w:pPr>
        <w:pStyle w:val="ListParagraph"/>
        <w:numPr>
          <w:ilvl w:val="0"/>
          <w:numId w:val="2"/>
        </w:numPr>
        <w:spacing w:after="80"/>
      </w:pPr>
      <w:r>
        <w:rPr>
          <w:sz w:val="22"/>
          <w:szCs w:val="22"/>
        </w:rPr>
        <w:t xml:space="preserve">Xây dựng mạch QAOA p=1,2,3 bằng Qiskit — mạch chính xác, đã được validate bằng brute force enumeration (AR=1.000)</w:t>
      </w:r>
    </w:p>
    <w:p>
      <w:pPr>
        <w:pStyle w:val="ListParagraph"/>
        <w:numPr>
          <w:ilvl w:val="0"/>
          <w:numId w:val="2"/>
        </w:numPr>
        <w:spacing w:after="80"/>
      </w:pPr>
      <w:r>
        <w:rPr>
          <w:sz w:val="22"/>
          <w:szCs w:val="22"/>
        </w:rPr>
        <w:t xml:space="preserve">Submit job thành công lên IBM Quantum hardware (ibm_brisbane, 127 qubits) — thu thập kết quả thật từ quantum hardware, nghiệm đúng vẫn là mode cao nhất (20.2%)</w:t>
      </w:r>
    </w:p>
    <w:p>
      <w:pPr>
        <w:pStyle w:val="ListParagraph"/>
        <w:numPr>
          <w:ilvl w:val="0"/>
          <w:numId w:val="2"/>
        </w:numPr>
        <w:spacing w:after="80"/>
      </w:pPr>
      <w:r>
        <w:rPr>
          <w:sz w:val="22"/>
          <w:szCs w:val="22"/>
        </w:rPr>
        <w:t xml:space="preserve">Áp dụng Zero Noise Extrapolation (ZNE) — cải thiện expectation value 50% so với kết quả raw hardware (Δ từ 0.0383 → 0.0192)</w:t>
      </w:r>
    </w:p>
    <w:p>
      <w:pPr>
        <w:pStyle w:val="ListParagraph"/>
        <w:numPr>
          <w:ilvl w:val="0"/>
          <w:numId w:val="2"/>
        </w:numPr>
        <w:spacing w:after="80"/>
      </w:pPr>
      <w:r>
        <w:rPr>
          <w:sz w:val="22"/>
          <w:szCs w:val="22"/>
        </w:rPr>
        <w:t xml:space="preserve">Phân tích noise NISQ — giải thích hiện tượng phân phối bị làm phẳng, decoherence, và gate error; kết quả phù hợp với literature</w:t>
      </w:r>
    </w:p>
    <w:p>
      <w:pPr>
        <w:spacing w:after="80"/>
      </w:pPr>
      <w:r>
        <w:t xml:space="preserve"/>
      </w:r>
    </w:p>
    <w:p>
      <w:pPr>
        <w:pStyle w:val="Heading2"/>
        <w:spacing w:after="120" w:before="240"/>
      </w:pPr>
      <w:r>
        <w:rPr>
          <w:b/>
          <w:bCs/>
          <w:color w:val="1E88E5"/>
          <w:sz w:val="24"/>
          <w:szCs w:val="24"/>
        </w:rPr>
        <w:t xml:space="preserve">9.2 Giới hạn NISQ và hướng phát triển</w:t>
      </w:r>
    </w:p>
    <w:p>
      <w:pPr>
        <w:pBdr>
          <w:left w:val="single" w:color="1E88E5" w:sz="16"/>
        </w:pBdr>
        <w:shd w:fill="FFF8E1" w:val="clear"/>
        <w:spacing w:after="160" w:before="160"/>
        <w:ind w:left="360"/>
      </w:pPr>
      <w:r>
        <w:rPr>
          <w:color w:val="2c3e50"/>
          <w:sz w:val="21"/>
          <w:szCs w:val="21"/>
        </w:rPr>
        <w:t xml:space="preserve">🔭  Giới hạn hiện tại: Trên NISQ devices, độ sâu mạch bị giới hạn bởi coherence time. Với p=3, mạch có ~36 tầng cổng — tiệm cận giới hạn T1/T2 của qubit hiện tại. Fault-tolerant quantum computing (FTQC) trong tương lai sẽ cho phép p lớn hơn và bài toán với n &gt; 50 cổ phiếu.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Hướng phát triển</w:t>
            </w:r>
          </w:p>
        </w:tc>
        <w:tc>
          <w:tcPr>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spacing w:after="0"/>
              <w:jc w:val="center"/>
            </w:pPr>
            <w:r>
              <w:rPr>
                <w:b/>
                <w:bCs/>
                <w:color w:val="FFFFFF"/>
                <w:sz w:val="20"/>
                <w:szCs w:val="20"/>
              </w:rPr>
              <w:t xml:space="preserve">Chi tiết</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Dynamic portfolio (multi-period)</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Mở rộng QUBO sang bài toán đa giai đoạn, tích hợp rebalancing</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Warm starting QAOA</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Khởi tạo tham số từ classical solver thay vì ngẫu nhiên → hội tụ nhanh hơn</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Readout error mitigation</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Áp dụng measurement calibration matrix để khử readout noise</w:t>
            </w:r>
          </w:p>
        </w:tc>
      </w:tr>
      <w:tr>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bCs/>
                <w:color w:val="1565C0"/>
                <w:sz w:val="20"/>
                <w:szCs w:val="20"/>
              </w:rPr>
              <w:t xml:space="preserve">Variational Quantum Eigensolver (VQE)</w:t>
            </w:r>
          </w:p>
        </w:tc>
        <w:tc>
          <w:tcPr>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So sánh QAOA với VQE trên cùng bài toán portfolio</w:t>
            </w:r>
          </w:p>
        </w:tc>
      </w:tr>
      <w:tr>
        <w:tc>
          <w:tcPr>
            <w:tcBorders>
              <w:top w:val="single" w:color="CCCCCC" w:sz="4"/>
              <w:left w:val="single" w:color="CCCCCC" w:sz="4"/>
              <w:bottom w:val="single" w:color="CCCCCC" w:sz="4"/>
              <w:right w:val="single" w:color="CCCCCC" w:sz="4"/>
            </w:tcBorders>
            <w:shd w:fill="E3F2FD" w:val="clear"/>
            <w:tcMar>
              <w:top w:type="dxa" w:w="100"/>
              <w:left w:type="dxa" w:w="120"/>
              <w:bottom w:type="dxa" w:w="100"/>
              <w:right w:type="dxa" w:w="120"/>
            </w:tcMar>
            <w:vAlign w:val="center"/>
          </w:tcPr>
          <w:p>
            <w:pPr>
              <w:spacing w:after="0"/>
              <w:jc w:val="center"/>
            </w:pPr>
            <w:r>
              <w:rPr>
                <w:b/>
                <w:bCs/>
                <w:color w:val="1565C0"/>
                <w:sz w:val="20"/>
                <w:szCs w:val="20"/>
              </w:rPr>
              <w:t xml:space="preserve">Tăng n cổ phiếu (n &gt; 10)</w:t>
            </w:r>
          </w:p>
        </w:tc>
        <w:tc>
          <w:tcPr>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vAlign w:val="center"/>
          </w:tcPr>
          <w:p>
            <w:pPr>
              <w:spacing w:after="0"/>
              <w:jc w:val="center"/>
            </w:pPr>
            <w:r>
              <w:rPr>
                <w:b w:val="false"/>
                <w:bCs w:val="false"/>
                <w:color w:val="000000"/>
                <w:sz w:val="20"/>
                <w:szCs w:val="20"/>
              </w:rPr>
              <w:t xml:space="preserve">Test với 10–20 cổ phiếu, phân tích scaling của quality vs n</w:t>
            </w:r>
          </w:p>
        </w:tc>
      </w:tr>
    </w:tbl>
    <w:p>
      <w:r>
        <w:br w:type="page"/>
      </w:r>
    </w:p>
    <w:p>
      <w:pPr>
        <w:pStyle w:val="Heading1"/>
        <w:pBdr>
          <w:bottom w:val="single" w:color="1565C0" w:sz="6"/>
        </w:pBdr>
        <w:spacing w:after="180" w:before="360"/>
      </w:pPr>
      <w:r>
        <w:rPr>
          <w:b/>
          <w:bCs/>
          <w:color w:val="1565C0"/>
          <w:sz w:val="28"/>
          <w:szCs w:val="28"/>
        </w:rPr>
        <w:t xml:space="preserve">Tài liệu tham khảo</w:t>
      </w:r>
    </w:p>
    <w:p>
      <w:pPr>
        <w:spacing w:after="120"/>
      </w:pPr>
      <w:r>
        <w:rPr>
          <w:sz w:val="21"/>
          <w:szCs w:val="21"/>
        </w:rPr>
        <w:t xml:space="preserve">1. Farhi, E., Goldstone, J., &amp; Gutmann, S. (2014). A Quantum Approximate Optimization Algorithm. arXiv:1411.4028</w:t>
      </w:r>
    </w:p>
    <w:p>
      <w:pPr>
        <w:spacing w:after="120"/>
      </w:pPr>
      <w:r>
        <w:rPr>
          <w:sz w:val="21"/>
          <w:szCs w:val="21"/>
        </w:rPr>
        <w:t xml:space="preserve">2. Orus, R. et al. (2019). Quantum computing for finance: Overview and prospects. arXiv:1807.03890</w:t>
      </w:r>
    </w:p>
    <w:p>
      <w:pPr>
        <w:spacing w:after="120"/>
      </w:pPr>
      <w:r>
        <w:rPr>
          <w:sz w:val="21"/>
          <w:szCs w:val="21"/>
        </w:rPr>
        <w:t xml:space="preserve">3. Markowitz, H. (1952). Portfolio selection. The Journal of Finance, 7(1), 77-91</w:t>
      </w:r>
    </w:p>
    <w:p>
      <w:pPr>
        <w:spacing w:after="120"/>
      </w:pPr>
      <w:r>
        <w:rPr>
          <w:sz w:val="21"/>
          <w:szCs w:val="21"/>
        </w:rPr>
        <w:t xml:space="preserve">4. Kandala, A. et al. (2019). Error mitigation extends the computational reach of a noisy quantum processor. Nature, 567, 491-495</w:t>
      </w:r>
    </w:p>
    <w:p>
      <w:pPr>
        <w:spacing w:after="120"/>
      </w:pPr>
      <w:r>
        <w:rPr>
          <w:sz w:val="21"/>
          <w:szCs w:val="21"/>
        </w:rPr>
        <w:t xml:space="preserve">5. IBM &amp; Vanguard (2024). Quantum utility study: Bond portfolio optimization on 109-qubit Heron processor</w:t>
      </w:r>
    </w:p>
    <w:p>
      <w:pPr>
        <w:spacing w:after="120"/>
      </w:pPr>
      <w:r>
        <w:rPr>
          <w:sz w:val="21"/>
          <w:szCs w:val="21"/>
        </w:rPr>
        <w:t xml:space="preserve">6. Qiskit Finance documentation: https://qiskit-community.github.io/qiskit-finance/</w:t>
      </w:r>
    </w:p>
    <w:p>
      <w:pPr>
        <w:spacing w:after="120"/>
      </w:pPr>
      <w:r>
        <w:rPr>
          <w:sz w:val="21"/>
          <w:szCs w:val="21"/>
        </w:rPr>
        <w:t xml:space="preserve">7. IBM Quantum Platform: https://quantum.ibm.com</w:t>
      </w:r>
    </w:p>
    <w:p>
      <w:pPr>
        <w:spacing w:after="120"/>
      </w:pPr>
      <w:r>
        <w:rPr>
          <w:sz w:val="21"/>
          <w:szCs w:val="21"/>
        </w:rPr>
        <w:t xml:space="preserve">8. Li, Y., &amp; Benjamin, S. C. (2017). Efficient variational quantum simulator incorporating active error minimization. Physical Review X, 7(2), 021050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8E5" w:sz="4"/>
      </w:pBdr>
      <w:tabs>
        <w:tab w:val="right" w:pos="9026"/>
      </w:tabs>
    </w:pPr>
    <w:r>
      <w:rPr>
        <w:color w:val="546E7A"/>
        <w:sz w:val="16"/>
        <w:szCs w:val="16"/>
      </w:rPr>
      <w:t xml:space="preserve">Nhóm 3 thành viên | IBM Quantum + Qiskit | QAOA Portfolio Optimization</w:t>
    </w:r>
    <w:r>
      <w:rPr>
        <w:sz w:val="16"/>
        <w:szCs w:val="16"/>
      </w:rPr>
      <w:t xml:space="preserve">	</w:t>
    </w:r>
    <w:r>
      <w:rPr>
        <w:color w:val="546E7A"/>
        <w:sz w:val="16"/>
        <w:szCs w:val="16"/>
      </w:rPr>
      <w:t xml:space="preserve">Trang </w:t>
    </w:r>
    <w:r>
      <w:rPr>
        <w:color w:val="546E7A"/>
        <w:sz w:val="16"/>
        <w:szCs w:val="16"/>
      </w:rPr>
      <w:fldChar w:fldCharType="begin"/>
      <w:instrText xml:space="preserve">PAGE</w:instrText>
      <w:fldChar w:fldCharType="separate"/>
      <w:fldChar w:fldCharType="end"/>
    </w:r>
    <w:r>
      <w:rPr>
        <w:color w:val="546E7A"/>
        <w:sz w:val="16"/>
        <w:szCs w:val="16"/>
      </w:rPr>
      <w:t xml:space="preserve"> / </w:t>
    </w:r>
    <w:r>
      <w:rPr>
        <w:color w:val="546E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4"/>
      </w:pBdr>
      <w:tabs>
        <w:tab w:val="right" w:pos="9026"/>
      </w:tabs>
    </w:pPr>
    <w:r>
      <w:rPr>
        <w:i/>
        <w:iCs/>
        <w:color w:val="546E7A"/>
        <w:sz w:val="18"/>
        <w:szCs w:val="18"/>
      </w:rPr>
      <w:t xml:space="preserve">Quantum Portfolio Optimization — Thành viên 2: Lập trình Lượng tử</w:t>
    </w:r>
    <w:r>
      <w:rPr>
        <w:sz w:val="18"/>
        <w:szCs w:val="18"/>
      </w:rPr>
      <w:t xml:space="preserve">	</w:t>
    </w:r>
    <w:r>
      <w:rPr>
        <w:color w:val="546E7A"/>
        <w:sz w:val="18"/>
        <w:szCs w:val="18"/>
      </w:rPr>
      <w:t xml:space="preserve">Năm học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88E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ce1b9be3af014c86a718fc51cd8601d64f49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2026-05-24T09:39:57.796Z</dcterms:created>
  <dcterms:modified xsi:type="dcterms:W3CDTF">2026-05-24T09:39:57.796Z</dcterms:modified>
</cp:coreProperties>
</file>

<file path=docProps/custom.xml><?xml version="1.0" encoding="utf-8"?>
<Properties xmlns="http://schemas.openxmlformats.org/officeDocument/2006/custom-properties" xmlns:vt="http://schemas.openxmlformats.org/officeDocument/2006/docPropsVTypes"/>
</file>