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 Unidad 4 — FNBC y Desnormalización Controlada en Food Store</w:t>
      </w:r>
    </w:p>
    <w:p>
      <w:r>
        <w:rPr>
          <w:b/>
        </w:rPr>
        <w:t>Materia:</w:t>
      </w:r>
      <w:r>
        <w:t xml:space="preserve"> Base de Datos II — Tecnicatura Universitaria en Programación</w:t>
      </w:r>
    </w:p>
    <w:p>
      <w:r>
        <w:rPr>
          <w:b/>
        </w:rPr>
        <w:t>Motor:</w:t>
      </w:r>
      <w:r>
        <w:t xml:space="preserve"> PostgreSQL 17.11</w:t>
      </w:r>
    </w:p>
    <w:p>
      <w:r>
        <w:rPr>
          <w:b/>
        </w:rPr>
        <w:t>Base de trabajo:</w:t>
      </w:r>
      <w:r>
        <w:t xml:space="preserve"> </w:t>
      </w:r>
      <w:r>
        <w:rPr>
          <w:rFonts w:ascii="Consolas" w:hAnsi="Consolas"/>
          <w:sz w:val="19"/>
        </w:rPr>
        <w:t>foodstore_u4</w:t>
      </w:r>
      <w:r>
        <w:t xml:space="preserve"> (copia de </w:t>
      </w:r>
      <w:r>
        <w:rPr>
          <w:rFonts w:ascii="Consolas" w:hAnsi="Consolas"/>
          <w:sz w:val="19"/>
        </w:rPr>
        <w:t>foodstore_u3_tp</w:t>
      </w:r>
      <w:r>
        <w:t xml:space="preserve">, ya poblada): 10 categorías, 50.000 productos, 200.000 pedidos, 600.000 líneas de </w:t>
      </w:r>
      <w:r>
        <w:rPr>
          <w:rFonts w:ascii="Consolas" w:hAnsi="Consolas"/>
          <w:sz w:val="19"/>
        </w:rPr>
        <w:t>detalle_pedido</w:t>
      </w:r>
      <w:r>
        <w:t>.</w:t>
      </w:r>
    </w:p>
    <w:p>
      <w:pPr>
        <w:ind w:left="360"/>
      </w:pPr>
      <w:r>
        <w:rPr>
          <w:b/>
          <w:i/>
        </w:rPr>
        <w:t>Nota sobre la consulta del enunciado (5.1).</w:t>
      </w:r>
      <w:r>
        <w:rPr>
          <w:i/>
        </w:rPr>
        <w:t xml:space="preserve"> El esquema real de Food Store no tiene las columnas </w:t>
      </w:r>
      <w:r>
        <w:rPr>
          <w:rFonts w:ascii="Consolas" w:hAnsi="Consolas"/>
          <w:i/>
          <w:sz w:val="19"/>
        </w:rPr>
        <w:t>subtotal</w:t>
      </w:r>
      <w:r>
        <w:rPr>
          <w:i/>
        </w:rPr>
        <w:t xml:space="preserve"> ni </w:t>
      </w:r>
      <w:r>
        <w:rPr>
          <w:rFonts w:ascii="Consolas" w:hAnsi="Consolas"/>
          <w:i/>
          <w:sz w:val="19"/>
        </w:rPr>
        <w:t>eliminado</w:t>
      </w:r>
      <w:r>
        <w:rPr>
          <w:i/>
        </w:rPr>
        <w:t xml:space="preserve"> en </w:t>
      </w:r>
      <w:r>
        <w:rPr>
          <w:rFonts w:ascii="Consolas" w:hAnsi="Consolas"/>
          <w:i/>
          <w:sz w:val="19"/>
        </w:rPr>
        <w:t>detalle_pedido</w:t>
      </w:r>
      <w:r>
        <w:rPr>
          <w:i/>
        </w:rPr>
        <w:t xml:space="preserve"> (solo </w:t>
      </w:r>
      <w:r>
        <w:rPr>
          <w:rFonts w:ascii="Consolas" w:hAnsi="Consolas"/>
          <w:i/>
          <w:sz w:val="19"/>
        </w:rPr>
        <w:t>cantidad</w:t>
      </w:r>
      <w:r>
        <w:rPr>
          <w:i/>
        </w:rPr>
        <w:t xml:space="preserve"> y </w:t>
      </w:r>
      <w:r>
        <w:rPr>
          <w:rFonts w:ascii="Consolas" w:hAnsi="Consolas"/>
          <w:i/>
          <w:sz w:val="19"/>
        </w:rPr>
        <w:t>precio_unitario</w:t>
      </w:r>
      <w:r>
        <w:rPr>
          <w:i/>
        </w:rPr>
        <w:t xml:space="preserve">; el borrado lógico vive en </w:t>
      </w:r>
      <w:r>
        <w:rPr>
          <w:rFonts w:ascii="Consolas" w:hAnsi="Consolas"/>
          <w:i/>
          <w:sz w:val="19"/>
        </w:rPr>
        <w:t>pedido.eliminado</w:t>
      </w:r>
      <w:r>
        <w:rPr>
          <w:i/>
        </w:rPr>
        <w:t xml:space="preserve">). Por eso la consulta se ejecuta como </w:t>
      </w:r>
      <w:r>
        <w:rPr>
          <w:rFonts w:ascii="Consolas" w:hAnsi="Consolas"/>
          <w:i/>
          <w:sz w:val="19"/>
        </w:rPr>
        <w:t>SUM(dp.cantidad * dp.precio_unitario)</w:t>
      </w:r>
      <w:r>
        <w:rPr>
          <w:i/>
        </w:rPr>
        <w:t xml:space="preserve"> y sin el filtro </w:t>
      </w:r>
      <w:r>
        <w:rPr>
          <w:rFonts w:ascii="Consolas" w:hAnsi="Consolas"/>
          <w:i/>
          <w:sz w:val="19"/>
        </w:rPr>
        <w:t>dp.eliminado</w:t>
      </w:r>
      <w:r>
        <w:rPr>
          <w:i/>
        </w:rPr>
        <w:t>. El plan de ejecución y el costo son los mismos.</w:t>
      </w:r>
    </w:p>
    <w:p>
      <w:pPr>
        <w:ind w:left="360"/>
      </w:pPr>
      <w:r>
        <w:rPr>
          <w:b/>
          <w:i/>
        </w:rPr>
        <w:t>Nota sobre el día de medición.</w:t>
      </w:r>
      <w:r>
        <w:rPr>
          <w:i/>
        </w:rPr>
        <w:t xml:space="preserve"> La base sembrada no contiene pedidos con </w:t>
      </w:r>
      <w:r>
        <w:rPr>
          <w:rFonts w:ascii="Consolas" w:hAnsi="Consolas"/>
          <w:i/>
          <w:sz w:val="19"/>
        </w:rPr>
        <w:t>fecha = CURRENT_DATE</w:t>
      </w:r>
      <w:r>
        <w:rPr>
          <w:i/>
        </w:rPr>
        <w:t xml:space="preserve"> (su rango va de 2025-01-01 a 2026-09-22). El día se parametriza y se mide sobre </w:t>
      </w:r>
      <w:r>
        <w:rPr>
          <w:b/>
          <w:i/>
        </w:rPr>
        <w:t>2025-04-24</w:t>
      </w:r>
      <w:r>
        <w:rPr>
          <w:i/>
        </w:rPr>
        <w:t>, el día con mayor volumen: 398 pedidos no eliminados y 1.672 líneas de detalle.</w:t>
      </w:r>
    </w:p>
    <w:p>
      <w:pPr>
        <w:pStyle w:val="Heading2"/>
      </w:pPr>
      <w:r>
        <w:t>Parte 1 — Análisis y aplicación de la FNBC: `control_lote_almacen`</w:t>
      </w:r>
    </w:p>
    <w:p>
      <w:r>
        <w:t xml:space="preserve">Entregable completo: </w:t>
      </w:r>
      <w:r>
        <w:rPr>
          <w:b/>
        </w:rPr>
        <w:t>`tp_fnbc_control_lote.sql`</w:t>
      </w:r>
      <w:r>
        <w:t xml:space="preserve"> (ejecutado y verificado sobre </w:t>
      </w:r>
      <w:r>
        <w:rPr>
          <w:rFonts w:ascii="Consolas" w:hAnsi="Consolas"/>
          <w:sz w:val="19"/>
        </w:rPr>
        <w:t>foodstore_u4</w:t>
      </w:r>
      <w:r>
        <w:t>).</w:t>
      </w:r>
    </w:p>
    <w:p>
      <w:pPr>
        <w:pStyle w:val="Heading3"/>
      </w:pPr>
      <w:r>
        <w:t>a) Dependencias funcionales</w:t>
      </w:r>
    </w:p>
    <w:p>
      <w:r>
        <w:t>De la regla de negocio se desprenden exactamente dos dependencias funcionales:</w:t>
      </w:r>
    </w:p>
    <w:p>
      <w:pPr>
        <w:pStyle w:val="ListBullet"/>
      </w:pPr>
      <w:r>
        <w:rPr>
          <w:b/>
        </w:rPr>
        <w:t>FD1 (la clave primaria):</w:t>
      </w:r>
      <w:r>
        <w:t xml:space="preserve"> </w:t>
      </w:r>
      <w:r>
        <w:rPr>
          <w:rFonts w:ascii="Consolas" w:hAnsi="Consolas"/>
          <w:sz w:val="19"/>
        </w:rPr>
        <w:t>LoteID, DepositoID → ResponsableControlID</w:t>
      </w:r>
    </w:p>
    <w:p>
      <w:r>
        <w:rPr>
          <w:i/>
        </w:rPr>
        <w:t>"Para un lote y un depósito intervinientes dados, el responsable de control queda unívocamente determinado."</w:t>
      </w:r>
    </w:p>
    <w:p>
      <w:pPr>
        <w:pStyle w:val="ListBullet"/>
      </w:pPr>
      <w:r>
        <w:rPr>
          <w:b/>
        </w:rPr>
        <w:t>FD2:</w:t>
      </w:r>
      <w:r>
        <w:t xml:space="preserve"> </w:t>
      </w:r>
      <w:r>
        <w:rPr>
          <w:rFonts w:ascii="Consolas" w:hAnsi="Consolas"/>
          <w:sz w:val="19"/>
        </w:rPr>
        <w:t>ResponsableControlID → DepositoID</w:t>
      </w:r>
    </w:p>
    <w:p>
      <w:r>
        <w:rPr>
          <w:i/>
        </w:rPr>
        <w:t>"Cada responsable de control pertenece, como dato maestro de la dotación de personal, a un único depósito: no controla lotes coordinados desde depósitos distintos."</w:t>
      </w:r>
      <w:r>
        <w:t xml:space="preserve"> Dado un responsable, su depósito queda determinado.</w:t>
      </w:r>
    </w:p>
    <w:p>
      <w:r>
        <w:t>No hay otras FDs: de la regla no se extrae ninguna otra determinación unívoca (</w:t>
      </w:r>
      <w:r>
        <w:rPr>
          <w:rFonts w:ascii="Consolas" w:hAnsi="Consolas"/>
          <w:sz w:val="19"/>
        </w:rPr>
        <w:t>LoteID → DepositoID</w:t>
      </w:r>
      <w:r>
        <w:t xml:space="preserve"> sería falsa: un mismo lote se controla desde más de un depósito).</w:t>
      </w:r>
    </w:p>
    <w:p>
      <w:pPr>
        <w:pStyle w:val="Heading3"/>
      </w:pPr>
      <w:r>
        <w:t>b) Clausuras de atributos y claves candidatas</w:t>
      </w:r>
    </w:p>
    <w:p>
      <w:r>
        <w:t>Clausuras (aplicando FD1 y FD2 en sucesión hasta alcanzar el punto fijo):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Subconjunto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Clausura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¿Superclave?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{LoteID}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{LoteID}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{DepositoID}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{DepositoID}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{ResponsableControlID}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{ResponsableControlID, DepositoID}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(falta </w:t>
            </w:r>
            <w:r>
              <w:rPr>
                <w:rFonts w:ascii="Consolas" w:hAnsi="Consolas"/>
                <w:sz w:val="18"/>
              </w:rPr>
              <w:t>LoteID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{DepositoID, ResponsableControlID}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{DepositoID, ResponsableControlID}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(ninguna FD aporta </w:t>
            </w:r>
            <w:r>
              <w:rPr>
                <w:rFonts w:ascii="Consolas" w:hAnsi="Consolas"/>
                <w:sz w:val="18"/>
              </w:rPr>
              <w:t>LoteID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{LoteID, DepositoID}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{LoteID, DepositoID, ResponsableControlID}</w:t>
            </w:r>
            <w:r>
              <w:rPr>
                <w:sz w:val="18"/>
              </w:rPr>
              <w:t xml:space="preserve"> = todos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{LoteID, ResponsableControlID}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{LoteID, ResponsableControlID}</w:t>
            </w:r>
            <w:r>
              <w:rPr>
                <w:sz w:val="18"/>
              </w:rPr>
              <w:t xml:space="preserve"> + FD2 → </w:t>
            </w:r>
            <w:r>
              <w:rPr>
                <w:rFonts w:ascii="Consolas" w:hAnsi="Consolas"/>
                <w:sz w:val="18"/>
              </w:rPr>
              <w:t>DepositoID</w:t>
            </w:r>
            <w:r>
              <w:rPr>
                <w:sz w:val="18"/>
              </w:rPr>
              <w:t xml:space="preserve"> → todos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Sí</w:t>
            </w:r>
          </w:p>
        </w:tc>
      </w:tr>
    </w:tbl>
    <w:p/>
    <w:p>
      <w:r>
        <w:t xml:space="preserve">Detalle del cálculo que produce la segunda clave: partiendo de </w:t>
      </w:r>
      <w:r>
        <w:rPr>
          <w:rFonts w:ascii="Consolas" w:hAnsi="Consolas"/>
          <w:sz w:val="19"/>
        </w:rPr>
        <w:t>{LoteID, ResponsableControlID}</w:t>
      </w:r>
      <w:r>
        <w:t>, la FD2 (</w:t>
      </w:r>
      <w:r>
        <w:rPr>
          <w:rFonts w:ascii="Consolas" w:hAnsi="Consolas"/>
          <w:sz w:val="19"/>
        </w:rPr>
        <w:t>ResponsableControlID → DepositoID</w:t>
      </w:r>
      <w:r>
        <w:t xml:space="preserve">) agrega </w:t>
      </w:r>
      <w:r>
        <w:rPr>
          <w:rFonts w:ascii="Consolas" w:hAnsi="Consolas"/>
          <w:sz w:val="19"/>
        </w:rPr>
        <w:t>DepositoID</w:t>
      </w:r>
      <w:r>
        <w:t xml:space="preserve">; con </w:t>
      </w:r>
      <w:r>
        <w:rPr>
          <w:rFonts w:ascii="Consolas" w:hAnsi="Consolas"/>
          <w:sz w:val="19"/>
        </w:rPr>
        <w:t>{LoteID, DepositoID}</w:t>
      </w:r>
      <w:r>
        <w:t xml:space="preserve"> completos, la FD1 ya está satisfecha (el atributo determinado ya está en la clausura) y el punto fijo es el conjunto universal.</w:t>
      </w:r>
    </w:p>
    <w:p>
      <w:r>
        <w:rPr>
          <w:b/>
        </w:rPr>
        <w:t>Conjunto completo de claves candidatas:</w:t>
      </w:r>
    </w:p>
    <w:p>
      <w:pPr>
        <w:pStyle w:val="ListBullet"/>
      </w:pPr>
      <w:r>
        <w:rPr>
          <w:rFonts w:ascii="Consolas" w:hAnsi="Consolas"/>
          <w:sz w:val="19"/>
        </w:rPr>
        <w:t>K1 = {LoteID, DepositoID}</w:t>
      </w:r>
      <w:r>
        <w:t xml:space="preserve"> (es la clave primaria del esquema dado)</w:t>
      </w:r>
    </w:p>
    <w:p>
      <w:pPr>
        <w:pStyle w:val="ListBullet"/>
      </w:pPr>
      <w:r>
        <w:rPr>
          <w:rFonts w:ascii="Consolas" w:hAnsi="Consolas"/>
          <w:sz w:val="19"/>
        </w:rPr>
        <w:t>K2 = {LoteID, ResponsableControlID}</w:t>
      </w:r>
    </w:p>
    <w:p>
      <w:r>
        <w:rPr>
          <w:b/>
        </w:rPr>
        <w:t>Atributos primos:</w:t>
      </w:r>
      <w:r>
        <w:t xml:space="preserve"> los tres: </w:t>
      </w:r>
      <w:r>
        <w:rPr>
          <w:rFonts w:ascii="Consolas" w:hAnsi="Consolas"/>
          <w:sz w:val="19"/>
        </w:rPr>
        <w:t>LoteID</w:t>
      </w:r>
      <w:r>
        <w:t xml:space="preserve">, </w:t>
      </w:r>
      <w:r>
        <w:rPr>
          <w:rFonts w:ascii="Consolas" w:hAnsi="Consolas"/>
          <w:sz w:val="19"/>
        </w:rPr>
        <w:t>DepositoID</w:t>
      </w:r>
      <w:r>
        <w:t xml:space="preserve">, </w:t>
      </w:r>
      <w:r>
        <w:rPr>
          <w:rFonts w:ascii="Consolas" w:hAnsi="Consolas"/>
          <w:sz w:val="19"/>
        </w:rPr>
        <w:t>ResponsableControlID</w:t>
      </w:r>
      <w:r>
        <w:t xml:space="preserve"> (cada uno pertenece a alguna clave candidata).</w:t>
      </w:r>
    </w:p>
    <w:p>
      <w:r>
        <w:rPr>
          <w:b/>
        </w:rPr>
        <w:t>Atributos no primos:</w:t>
      </w:r>
      <w:r>
        <w:t xml:space="preserve"> ninguno.</w:t>
      </w:r>
    </w:p>
    <w:p>
      <w:r>
        <w:t>Verificación empírica de K2 sobre la instancia (0 filas duplicadas ⇒ es clave también en los datos):</w:t>
      </w:r>
    </w:p>
    <w:p>
      <w:pPr>
        <w:spacing w:before="80" w:after="160"/>
      </w:pPr>
      <w:r>
        <w:rPr>
          <w:rFonts w:ascii="Consolas" w:hAnsi="Consolas"/>
          <w:sz w:val="17"/>
        </w:rPr>
        <w:t>SELECT lote_id, responsable_control_id, COUNT(*) AS repeticiones</w:t>
        <w:br/>
        <w:t>FROM   control_lote_almacen</w:t>
        <w:br/>
        <w:t>GROUP  BY lote_id, responsable_control_id</w:t>
        <w:br/>
        <w:t>HAVING COUNT(*) &gt; 1;     -- 0 filas</w:t>
      </w:r>
    </w:p>
    <w:p>
      <w:pPr>
        <w:pStyle w:val="Heading3"/>
      </w:pPr>
      <w:r>
        <w:t>c) ¿Cumple FNBC?</w:t>
      </w:r>
    </w:p>
    <w:p>
      <w:r>
        <w:rPr>
          <w:b/>
        </w:rPr>
        <w:t>No.</w:t>
      </w:r>
      <w:r>
        <w:t xml:space="preserve"> La definición formal de Forma Normal de Boyce-Codd exige:</w:t>
      </w:r>
    </w:p>
    <w:p>
      <w:pPr>
        <w:ind w:left="360"/>
      </w:pPr>
      <w:r>
        <w:rPr>
          <w:i/>
        </w:rPr>
        <w:t xml:space="preserve">Para toda dependencia funcional </w:t>
      </w:r>
      <w:r>
        <w:rPr>
          <w:rFonts w:ascii="Consolas" w:hAnsi="Consolas"/>
          <w:i/>
          <w:sz w:val="19"/>
        </w:rPr>
        <w:t>X → A</w:t>
      </w:r>
      <w:r>
        <w:rPr>
          <w:i/>
        </w:rPr>
        <w:t xml:space="preserve"> de R, </w:t>
      </w:r>
      <w:r>
        <w:rPr>
          <w:rFonts w:ascii="Consolas" w:hAnsi="Consolas"/>
          <w:i/>
          <w:sz w:val="19"/>
        </w:rPr>
        <w:t>X</w:t>
      </w:r>
      <w:r>
        <w:rPr>
          <w:i/>
        </w:rPr>
        <w:t xml:space="preserve"> debe ser superclave de R.</w:t>
      </w:r>
    </w:p>
    <w:p>
      <w:r>
        <w:t xml:space="preserve">Aplicada a la FD2 </w:t>
      </w:r>
      <w:r>
        <w:rPr>
          <w:rFonts w:ascii="Consolas" w:hAnsi="Consolas"/>
          <w:sz w:val="19"/>
        </w:rPr>
        <w:t>ResponsableControlID → DepositoID</w:t>
      </w:r>
      <w:r>
        <w:t>:</w:t>
      </w:r>
    </w:p>
    <w:p>
      <w:pPr>
        <w:pStyle w:val="ListBullet"/>
      </w:pPr>
      <w:r>
        <w:t xml:space="preserve">Su determinante es </w:t>
      </w:r>
      <w:r>
        <w:rPr>
          <w:rFonts w:ascii="Consolas" w:hAnsi="Consolas"/>
          <w:sz w:val="19"/>
        </w:rPr>
        <w:t>{ResponsableControlID}</w:t>
      </w:r>
      <w:r>
        <w:t>.</w:t>
      </w:r>
    </w:p>
    <w:p>
      <w:pPr>
        <w:pStyle w:val="ListBullet"/>
      </w:pPr>
      <w:r>
        <w:t xml:space="preserve">Su clausura es </w:t>
      </w:r>
      <w:r>
        <w:rPr>
          <w:rFonts w:ascii="Consolas" w:hAnsi="Consolas"/>
          <w:sz w:val="19"/>
        </w:rPr>
        <w:t>{ResponsableControlID, DepositoID}</w:t>
      </w:r>
      <w:r>
        <w:t xml:space="preserve"> ≠ conjunto universal de la relación.</w:t>
      </w:r>
    </w:p>
    <w:p>
      <w:pPr>
        <w:pStyle w:val="ListBullet"/>
      </w:pPr>
      <w:r>
        <w:t xml:space="preserve">Por lo tanto </w:t>
      </w:r>
      <w:r>
        <w:rPr>
          <w:b/>
        </w:rPr>
        <w:t>`ResponsableControlID` no es superclave</w:t>
      </w:r>
      <w:r>
        <w:t xml:space="preserve"> y la FD2 viola FNBC. Es la única FD violatoria: la FD1 tiene como determinante a </w:t>
      </w:r>
      <w:r>
        <w:rPr>
          <w:rFonts w:ascii="Consolas" w:hAnsi="Consolas"/>
          <w:sz w:val="19"/>
        </w:rPr>
        <w:t>K1</w:t>
      </w:r>
      <w:r>
        <w:t>, que sí es superclave (de hecho, clave candidata).</w:t>
      </w:r>
    </w:p>
    <w:p>
      <w:r>
        <w:rPr>
          <w:b/>
        </w:rPr>
        <w:t>Dato interesante (por qué el TP pide FNBC y no 3FN):</w:t>
      </w:r>
      <w:r>
        <w:t xml:space="preserve"> como todos los atributos del esquema son primos, la relación </w:t>
      </w:r>
      <w:r>
        <w:rPr>
          <w:b/>
        </w:rPr>
        <w:t>sí está en 3FN</w:t>
      </w:r>
      <w:r>
        <w:t xml:space="preserve"> (ningún atributo no-primo depende parcial o transitivamente de una clave) y también en 2FN. La FNBC es estrictamente más exigente: prohíbe determinantes que no sean superclave aunque lo que determinen sean atributos primos. Este esquema es el ejemplo canónico de "está en 3FN pero no en FNBC".</w:t>
      </w:r>
    </w:p>
    <w:p>
      <w:pPr>
        <w:pStyle w:val="Heading3"/>
      </w:pPr>
      <w:r>
        <w:t>d) Las tres anomalías clásicas, sobre la instancia de ejemplo</w:t>
      </w:r>
    </w:p>
    <w:p>
      <w:r>
        <w:t xml:space="preserve">Instancia cargada: </w:t>
      </w:r>
      <w:r>
        <w:rPr>
          <w:rFonts w:ascii="Consolas" w:hAnsi="Consolas"/>
          <w:sz w:val="19"/>
        </w:rPr>
        <w:t>(501, 30, 801)</w:t>
      </w:r>
      <w:r>
        <w:t xml:space="preserve">, </w:t>
      </w:r>
      <w:r>
        <w:rPr>
          <w:rFonts w:ascii="Consolas" w:hAnsi="Consolas"/>
          <w:sz w:val="19"/>
        </w:rPr>
        <w:t>(502, 30, 801)</w:t>
      </w:r>
      <w:r>
        <w:t xml:space="preserve">, </w:t>
      </w:r>
      <w:r>
        <w:rPr>
          <w:rFonts w:ascii="Consolas" w:hAnsi="Consolas"/>
          <w:sz w:val="19"/>
        </w:rPr>
        <w:t>(503, 31, 802)</w:t>
      </w:r>
      <w:r>
        <w:t>.</w:t>
      </w:r>
    </w:p>
    <w:p>
      <w:r>
        <w:rPr>
          <w:b/>
        </w:rPr>
        <w:t>Anomalía de inserción.</w:t>
      </w:r>
      <w:r>
        <w:t xml:space="preserve"> El hecho "el responsable 803 pertenece al depósito 32" es un dato maestro de la dotación de personal que debería poder registrarse por sí solo. En </w:t>
      </w:r>
      <w:r>
        <w:rPr>
          <w:rFonts w:ascii="Consolas" w:hAnsi="Consolas"/>
          <w:sz w:val="19"/>
        </w:rPr>
        <w:t>control_lote_almacen</w:t>
      </w:r>
      <w:r>
        <w:t xml:space="preserve"> no existe forma de hacerlo: </w:t>
      </w:r>
      <w:r>
        <w:rPr>
          <w:rFonts w:ascii="Consolas" w:hAnsi="Consolas"/>
          <w:sz w:val="19"/>
        </w:rPr>
        <w:t>lote_id</w:t>
      </w:r>
      <w:r>
        <w:t xml:space="preserve"> es </w:t>
      </w:r>
      <w:r>
        <w:rPr>
          <w:rFonts w:ascii="Consolas" w:hAnsi="Consolas"/>
          <w:sz w:val="19"/>
        </w:rPr>
        <w:t>NOT NULL</w:t>
      </w:r>
      <w:r>
        <w:t xml:space="preserve"> y además forma parte de la clave primaria, así que para registrar la pertenencia de un responsable a un depósito hay que </w:t>
      </w:r>
      <w:r>
        <w:rPr>
          <w:i/>
        </w:rPr>
        <w:t>inventar</w:t>
      </w:r>
      <w:r>
        <w:t xml:space="preserve"> un lote (o un par lote-depósito ficticio). El esquema sólo permite registrar la asignación responsable-depósito "a costo de" crear un control de lote que en la realidad no existe.</w:t>
      </w:r>
    </w:p>
    <w:p>
      <w:r>
        <w:rPr>
          <w:b/>
        </w:rPr>
        <w:t>Anomalía de borrado.</w:t>
      </w:r>
      <w:r>
        <w:t xml:space="preserve"> Si se borra la fila </w:t>
      </w:r>
      <w:r>
        <w:rPr>
          <w:rFonts w:ascii="Consolas" w:hAnsi="Consolas"/>
          <w:sz w:val="19"/>
        </w:rPr>
        <w:t>(503, 31, 802)</w:t>
      </w:r>
      <w:r>
        <w:t xml:space="preserve"> — por ejemplo, porque el lote 503 fue anulado —, junto con ella desaparece la información "el responsable 802 pertenece al depósito 31", que es un dato maestro que debería sobrevivir a cualquier cambio en los lotes. Es la última fila en la que aparece 802, y el depósito al que pertenece queda irrecuperable en esa tabla.</w:t>
      </w:r>
    </w:p>
    <w:p>
      <w:r>
        <w:rPr>
          <w:b/>
        </w:rPr>
        <w:t>Anomalía de actualización.</w:t>
      </w:r>
      <w:r>
        <w:t xml:space="preserve"> Si el responsable 801 se muda al depósito 31, hay que actualizar </w:t>
      </w:r>
      <w:r>
        <w:rPr>
          <w:b/>
        </w:rPr>
        <w:t>las dos filas</w:t>
      </w:r>
      <w:r>
        <w:t xml:space="preserve"> en las que aparece (501,30,801) y (502,30,801). La redundancia que impone la FD2 hace que un update parcial (o dos transacciones concurrentes que actualicen una fila cada una) deje la base en estado contradictorio: 801 aparecería asociado al depósito 30 en una fila y al 31 en otra, violando la regla de negocio sin que ninguna restricción lo impida. La prueba directa de la redundancia:</w:t>
      </w:r>
    </w:p>
    <w:p>
      <w:pPr>
        <w:spacing w:before="80" w:after="160"/>
      </w:pPr>
      <w:r>
        <w:rPr>
          <w:rFonts w:ascii="Consolas" w:hAnsi="Consolas"/>
          <w:sz w:val="17"/>
        </w:rPr>
        <w:t>SELECT responsable_control_id,</w:t>
        <w:br/>
        <w:t xml:space="preserve">       COUNT(DISTINCT deposito_id) depositos_distintos,</w:t>
        <w:br/>
        <w:t xml:space="preserve">       COUNT(*)                    filas_almacenadas</w:t>
        <w:br/>
        <w:t>FROM   control_lote_almacen</w:t>
        <w:br/>
        <w:t>GROUP  BY responsable_control_id</w:t>
        <w:br/>
        <w:t>HAVING COUNT(*) &gt; 1;</w:t>
        <w:br/>
        <w:t>--  responsable_control_id | depositos_distintos | filas_almacenadas</w:t>
        <w:br/>
        <w:t>-- ------------------------+---------------------+-------------------</w:t>
        <w:br/>
        <w:t>--                     801 |                   1 |                 2</w:t>
      </w:r>
    </w:p>
    <w:p>
      <w:r>
        <w:t xml:space="preserve">El par </w:t>
      </w:r>
      <w:r>
        <w:rPr>
          <w:rFonts w:ascii="Consolas" w:hAnsi="Consolas"/>
          <w:sz w:val="19"/>
        </w:rPr>
        <w:t>(801, 30)</w:t>
      </w:r>
      <w:r>
        <w:t xml:space="preserve"> está almacenado dos veces: la tabla no tiene ninguna clave que lo cubra una sola vez.</w:t>
      </w:r>
    </w:p>
    <w:p>
      <w:pPr>
        <w:pStyle w:val="Heading3"/>
      </w:pPr>
      <w:r>
        <w:t>e) Descomposición sin pérdida y script SQL</w:t>
      </w:r>
    </w:p>
    <w:p>
      <w:r>
        <w:t xml:space="preserve">Algoritmo aplicado: para cada FD </w:t>
      </w:r>
      <w:r>
        <w:rPr>
          <w:rFonts w:ascii="Consolas" w:hAnsi="Consolas"/>
          <w:sz w:val="19"/>
        </w:rPr>
        <w:t>X → Y</w:t>
      </w:r>
      <w:r>
        <w:t xml:space="preserve"> que viola FNBC, extraer una tabla </w:t>
      </w:r>
      <w:r>
        <w:rPr>
          <w:rFonts w:ascii="Consolas" w:hAnsi="Consolas"/>
          <w:sz w:val="19"/>
        </w:rPr>
        <w:t>R(Y, X)</w:t>
      </w:r>
      <w:r>
        <w:t xml:space="preserve"> cuya clave primaria sea </w:t>
      </w:r>
      <w:r>
        <w:rPr>
          <w:rFonts w:ascii="Consolas" w:hAnsi="Consolas"/>
          <w:sz w:val="19"/>
        </w:rPr>
        <w:t>X</w:t>
      </w:r>
      <w:r>
        <w:t xml:space="preserve">, y dejar en la tabla restante </w:t>
      </w:r>
      <w:r>
        <w:rPr>
          <w:rFonts w:ascii="Consolas" w:hAnsi="Consolas"/>
          <w:sz w:val="19"/>
        </w:rPr>
        <w:t>R(R − Y, X)</w:t>
      </w:r>
      <w:r>
        <w:t xml:space="preserve"> la clave que sí es superclave. Aplicado a la única FD violatoria (</w:t>
      </w:r>
      <w:r>
        <w:rPr>
          <w:rFonts w:ascii="Consolas" w:hAnsi="Consolas"/>
          <w:sz w:val="19"/>
        </w:rPr>
        <w:t>ResponsableControlID → DepositoID</w:t>
      </w:r>
      <w:r>
        <w:t>):</w:t>
      </w:r>
    </w:p>
    <w:p>
      <w:pPr>
        <w:pStyle w:val="ListBullet"/>
      </w:pPr>
      <w:r>
        <w:rPr>
          <w:b/>
        </w:rPr>
        <w:t>R1</w:t>
      </w:r>
      <w:r>
        <w:t xml:space="preserve"> = </w:t>
      </w:r>
      <w:r>
        <w:rPr>
          <w:rFonts w:ascii="Consolas" w:hAnsi="Consolas"/>
          <w:sz w:val="19"/>
        </w:rPr>
        <w:t>control_lote_responsable (LoteID, ResponsableControlID)</w:t>
      </w:r>
      <w:r>
        <w:t xml:space="preserve"> — PK </w:t>
      </w:r>
      <w:r>
        <w:rPr>
          <w:rFonts w:ascii="Consolas" w:hAnsi="Consolas"/>
          <w:sz w:val="19"/>
        </w:rPr>
        <w:t>(LoteID, ResponsableControlID)</w:t>
      </w:r>
      <w:r>
        <w:t>; contiene la FD1.</w:t>
      </w:r>
    </w:p>
    <w:p>
      <w:pPr>
        <w:pStyle w:val="ListBullet"/>
      </w:pPr>
      <w:r>
        <w:rPr>
          <w:b/>
        </w:rPr>
        <w:t>R2</w:t>
      </w:r>
      <w:r>
        <w:t xml:space="preserve"> = </w:t>
      </w:r>
      <w:r>
        <w:rPr>
          <w:rFonts w:ascii="Consolas" w:hAnsi="Consolas"/>
          <w:sz w:val="19"/>
        </w:rPr>
        <w:t>deposito_responsable (ResponsableControlID, DepositoID)</w:t>
      </w:r>
      <w:r>
        <w:t xml:space="preserve"> — PK </w:t>
      </w:r>
      <w:r>
        <w:rPr>
          <w:rFonts w:ascii="Consolas" w:hAnsi="Consolas"/>
          <w:sz w:val="19"/>
        </w:rPr>
        <w:t>ResponsableControlID</w:t>
      </w:r>
      <w:r>
        <w:t>; contiene la FD2, y su determinante es ahora superclave (es la PK), con lo que R2 cumple FNBC.</w:t>
      </w:r>
    </w:p>
    <w:p>
      <w:pPr>
        <w:pStyle w:val="ListBullet"/>
      </w:pPr>
      <w:r>
        <w:t>R1 también cumple FNBC: su única FD es la propia clave.</w:t>
      </w:r>
    </w:p>
    <w:p>
      <w:pPr>
        <w:spacing w:before="80" w:after="160"/>
      </w:pPr>
      <w:r>
        <w:rPr>
          <w:rFonts w:ascii="Consolas" w:hAnsi="Consolas"/>
          <w:sz w:val="17"/>
        </w:rPr>
        <w:t>CREATE TABLE control_lote_responsable (</w:t>
        <w:br/>
        <w:t xml:space="preserve">    lote_id                 BIGINT NOT NULL REFERENCES lote (id),</w:t>
        <w:br/>
        <w:t xml:space="preserve">    responsable_control_id  BIGINT NOT NULL REFERENCES usuario (id),</w:t>
        <w:br/>
        <w:t xml:space="preserve">    PRIMARY KEY (lote_id, responsable_control_id)</w:t>
        <w:br/>
        <w:t>);</w:t>
        <w:br/>
        <w:br/>
        <w:t>CREATE TABLE deposito_responsable (</w:t>
        <w:br/>
        <w:t xml:space="preserve">    responsable_control_id  BIGINT PRIMARY KEY REFERENCES usuario (id),</w:t>
        <w:br/>
        <w:t xml:space="preserve">    deposito_id             BIGINT NOT NULL REFERENCES deposito (id)</w:t>
        <w:br/>
        <w:t>);</w:t>
        <w:br/>
        <w:br/>
        <w:t>-- Vista de compatibilidad: reconstruye la relación original</w:t>
        <w:br/>
        <w:t>CREATE VIEW control_lote_almacen_compat AS</w:t>
        <w:br/>
        <w:t>SELECT lr.lote_id,</w:t>
        <w:br/>
        <w:t xml:space="preserve">       dr.deposito_id,</w:t>
        <w:br/>
        <w:t xml:space="preserve">       lr.responsable_control_id</w:t>
        <w:br/>
        <w:t>FROM   control_lote_responsable lr</w:t>
        <w:br/>
        <w:t>JOIN   deposito_responsable     dr USING (responsable_control_id);</w:t>
        <w:br/>
        <w:br/>
        <w:t>-- Migración de la instancia de ejemplo</w:t>
        <w:br/>
        <w:t>INSERT INTO control_lote_responsable (lote_id, responsable_control_id)</w:t>
        <w:br/>
        <w:t>SELECT DISTINCT lote_id, responsable_control_id FROM control_lote_almacen;</w:t>
        <w:br/>
        <w:br/>
        <w:t>INSERT INTO deposito_responsable (responsable_control_id, deposito_id)</w:t>
        <w:br/>
        <w:t>SELECT DISTINCT responsable_control_id, deposito_id FROM control_lote_almacen;</w:t>
      </w:r>
    </w:p>
    <w:p>
      <w:r>
        <w:t xml:space="preserve">El script completo (con las tablas maestras </w:t>
      </w:r>
      <w:r>
        <w:rPr>
          <w:rFonts w:ascii="Consolas" w:hAnsi="Consolas"/>
          <w:sz w:val="19"/>
        </w:rPr>
        <w:t>lote</w:t>
      </w:r>
      <w:r>
        <w:t xml:space="preserve"> y </w:t>
      </w:r>
      <w:r>
        <w:rPr>
          <w:rFonts w:ascii="Consolas" w:hAnsi="Consolas"/>
          <w:sz w:val="19"/>
        </w:rPr>
        <w:t>deposito</w:t>
      </w:r>
      <w:r>
        <w:t xml:space="preserve">, la instancia original, la migración y la eliminación final de la tabla que violaba FNBC) está en </w:t>
      </w:r>
      <w:r>
        <w:rPr>
          <w:rFonts w:ascii="Consolas" w:hAnsi="Consolas"/>
          <w:sz w:val="19"/>
        </w:rPr>
        <w:t>tp_fnbc_control_lote.sql</w:t>
      </w:r>
      <w:r>
        <w:t>.</w:t>
      </w:r>
    </w:p>
    <w:p>
      <w:pPr>
        <w:pStyle w:val="Heading3"/>
      </w:pPr>
      <w:r>
        <w:t>f) Justificación de la unión sin pérdida y verificación</w:t>
      </w:r>
    </w:p>
    <w:p>
      <w:r>
        <w:rPr>
          <w:b/>
        </w:rPr>
        <w:t>Criterio de superclave sobre el atributo común.</w:t>
      </w:r>
      <w:r>
        <w:t xml:space="preserve"> El teorema de pérdida de unión establece que, para una descomposición </w:t>
      </w:r>
      <w:r>
        <w:rPr>
          <w:rFonts w:ascii="Consolas" w:hAnsi="Consolas"/>
          <w:sz w:val="19"/>
        </w:rPr>
        <w:t>R = R1 ∩ R2</w:t>
      </w:r>
      <w:r>
        <w:t xml:space="preserve">, la reconstrucción por unión natural es sin pérdida si el atributo común determina alguna de las componentes; es decir, si </w:t>
      </w:r>
      <w:r>
        <w:rPr>
          <w:rFonts w:ascii="Consolas" w:hAnsi="Consolas"/>
          <w:sz w:val="19"/>
        </w:rPr>
        <w:t>R1 ∩ R2 → R2 − R1</w:t>
      </w:r>
      <w:r>
        <w:t xml:space="preserve"> (o </w:t>
      </w:r>
      <w:r>
        <w:rPr>
          <w:rFonts w:ascii="Consolas" w:hAnsi="Consolas"/>
          <w:sz w:val="19"/>
        </w:rPr>
        <w:t>R1 ∩ R2 → R1 − R2</w:t>
      </w:r>
      <w:r>
        <w:t>) es una dependencia funcional válida en R. Aquí:</w:t>
      </w:r>
    </w:p>
    <w:p>
      <w:pPr>
        <w:pStyle w:val="ListBullet"/>
      </w:pPr>
      <w:r>
        <w:rPr>
          <w:rFonts w:ascii="Consolas" w:hAnsi="Consolas"/>
          <w:sz w:val="19"/>
        </w:rPr>
        <w:t>R1 ∩ R2 = {ResponsableControlID}</w:t>
      </w:r>
    </w:p>
    <w:p>
      <w:pPr>
        <w:pStyle w:val="ListBullet"/>
      </w:pPr>
      <w:r>
        <w:rPr>
          <w:rFonts w:ascii="Consolas" w:hAnsi="Consolas"/>
          <w:sz w:val="19"/>
        </w:rPr>
        <w:t>R2 − R1 = {DepositoID}</w:t>
      </w:r>
    </w:p>
    <w:p>
      <w:pPr>
        <w:pStyle w:val="ListBullet"/>
      </w:pPr>
      <w:r>
        <w:t xml:space="preserve">La FD2 </w:t>
      </w:r>
      <w:r>
        <w:rPr>
          <w:rFonts w:ascii="Consolas" w:hAnsi="Consolas"/>
          <w:sz w:val="19"/>
        </w:rPr>
        <w:t>ResponsableControlID → DepositoID</w:t>
      </w:r>
      <w:r>
        <w:t xml:space="preserve"> es una FD del esquema original. Luego </w:t>
      </w:r>
      <w:r>
        <w:rPr>
          <w:b/>
        </w:rPr>
        <w:t>la unión natural es sin pérdida</w:t>
      </w:r>
      <w:r>
        <w:t>.</w:t>
      </w:r>
    </w:p>
    <w:p>
      <w:r>
        <w:t xml:space="preserve">Intuitivamente: como en R2 el atributo común </w:t>
      </w:r>
      <w:r>
        <w:rPr>
          <w:rFonts w:ascii="Consolas" w:hAnsi="Consolas"/>
          <w:sz w:val="19"/>
        </w:rPr>
        <w:t>ResponsableControlID</w:t>
      </w:r>
      <w:r>
        <w:t xml:space="preserve"> </w:t>
      </w:r>
      <w:r>
        <w:rPr>
          <w:b/>
        </w:rPr>
        <w:t>es clave primaria</w:t>
      </w:r>
      <w:r>
        <w:t xml:space="preserve">, cada fila de R1 se junta con </w:t>
      </w:r>
      <w:r>
        <w:rPr>
          <w:b/>
        </w:rPr>
        <w:t>exactamente una</w:t>
      </w:r>
      <w:r>
        <w:t xml:space="preserve"> fila de R2 (o con ninguna si el par no existe); nunca se "multiplican" filas ni se pierden combinaciones, porque toda combinación posible de la relación original está determinada por el responsable.</w:t>
      </w:r>
    </w:p>
    <w:p>
      <w:r>
        <w:rPr>
          <w:b/>
        </w:rPr>
        <w:t>Migración y verificación.</w:t>
      </w:r>
      <w:r>
        <w:t xml:space="preserve"> Los datos se migraron y la equivalencia se comprobó en ambos sentidos con la vista de compatibilidad; las dos diferencias devolvieron 0 filas:</w:t>
      </w:r>
    </w:p>
    <w:p>
      <w:pPr>
        <w:spacing w:before="80" w:after="160"/>
      </w:pPr>
      <w:r>
        <w:rPr>
          <w:rFonts w:ascii="Consolas" w:hAnsi="Consolas"/>
          <w:sz w:val="17"/>
        </w:rPr>
        <w:t>-- (a) filas de la vista que no están en la relación original -&gt; 0 filas</w:t>
        <w:br/>
        <w:t>SELECT * FROM (SELECT * FROM control_lote_almacen_compat</w:t>
        <w:br/>
        <w:t xml:space="preserve">               EXCEPT</w:t>
        <w:br/>
        <w:t xml:space="preserve">               SELECT * FROM control_lote_almacen) d;</w:t>
        <w:br/>
        <w:br/>
        <w:t>-- (b) filas de la relación original que no están en la vista -&gt; 0 filas</w:t>
        <w:br/>
        <w:t>SELECT * FROM (SELECT * FROM control_lote_almacen</w:t>
        <w:br/>
        <w:t xml:space="preserve">               EXCEPT</w:t>
        <w:br/>
        <w:t xml:space="preserve">               SELECT * FROM control_lote_almacen_compat) d;</w:t>
      </w:r>
    </w:p>
    <w:p>
      <w:r>
        <w:t>Resultado final sobre la instancia (la redundancia 801→30 quedó almacenada una sola vez):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control_lote_responsable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deposito_responsable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vista de compatibilidad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lote_id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resp_id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resp_id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deposito_id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lote_id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deposito_id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resp_id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802</w:t>
            </w:r>
          </w:p>
        </w:tc>
      </w:tr>
    </w:tbl>
    <w:p/>
    <w:p>
      <w:r>
        <w:t xml:space="preserve">Las anomalías de la d) quedan resueltas: el pertenecer a un depósito es ahora una fila propia (inserción), su borrado no arrastra lotes (borrado), y el responsable 801 aparece </w:t>
      </w:r>
      <w:r>
        <w:rPr>
          <w:b/>
        </w:rPr>
        <w:t>una sola vez</w:t>
      </w:r>
      <w:r>
        <w:t xml:space="preserve"> con su depósito (actualización).</w:t>
      </w:r>
    </w:p>
    <w:p>
      <w:pPr>
        <w:pStyle w:val="Heading2"/>
      </w:pPr>
      <w:r>
        <w:t>Parte 2 — Consulta con desnormalización controlada</w:t>
      </w:r>
    </w:p>
    <w:p>
      <w:r>
        <w:t xml:space="preserve">Entregable completo: </w:t>
      </w:r>
      <w:r>
        <w:rPr>
          <w:b/>
        </w:rPr>
        <w:t>`tp_desnormalizacion_top_categorias.sql`</w:t>
      </w:r>
      <w:r>
        <w:t xml:space="preserve"> (ejecutado y verificado sobre </w:t>
      </w:r>
      <w:r>
        <w:rPr>
          <w:rFonts w:ascii="Consolas" w:hAnsi="Consolas"/>
          <w:sz w:val="19"/>
        </w:rPr>
        <w:t>foodstore_u4</w:t>
      </w:r>
      <w:r>
        <w:t>).</w:t>
      </w:r>
    </w:p>
    <w:p>
      <w:pPr>
        <w:pStyle w:val="Heading3"/>
      </w:pPr>
      <w:r>
        <w:t>a) EXPLAIN ANALYZE de la consulta original</w:t>
      </w:r>
    </w:p>
    <w:p>
      <w:r>
        <w:t>Consulta del enunciado adaptada al esquema real (ver nota inicial), sobre el día 2025-04-24:</w:t>
      </w:r>
    </w:p>
    <w:p>
      <w:pPr>
        <w:spacing w:before="80" w:after="160"/>
      </w:pPr>
      <w:r>
        <w:rPr>
          <w:rFonts w:ascii="Consolas" w:hAnsi="Consolas"/>
          <w:sz w:val="17"/>
        </w:rPr>
        <w:t>EXPLAIN (ANALYZE, BUFFERS)</w:t>
        <w:br/>
        <w:t>SELECT c.nombre AS categoria,</w:t>
        <w:br/>
        <w:t xml:space="preserve">       SUM(dp.cantidad * dp.precio_unitario) AS total_vendido</w:t>
        <w:br/>
        <w:t>FROM   detalle_pedido dp</w:t>
        <w:br/>
        <w:t>JOIN   producto pr  ON pr.id = dp.producto_id</w:t>
        <w:br/>
        <w:t>JOIN   categoria c  ON c.id  = pr.categoria_id</w:t>
        <w:br/>
        <w:t>JOIN   pedido ped   ON ped.id = dp.pedido_id</w:t>
        <w:br/>
        <w:t>WHERE  ped.fecha &gt;= DATE '2025-04-24'</w:t>
        <w:br/>
        <w:t xml:space="preserve">  AND  ped.fecha &lt;  DATE '2025-04-25'</w:t>
        <w:br/>
        <w:t xml:space="preserve">  AND  ped.eliminado = FALSE</w:t>
        <w:br/>
        <w:t>GROUP  BY c.nombre</w:t>
        <w:br/>
        <w:t>ORDER  BY total_vendido DESC</w:t>
        <w:br/>
        <w:t>LIMIT  5;</w:t>
      </w:r>
    </w:p>
    <w:p>
      <w:r>
        <w:t>Salida (fragmento relevante):</w:t>
      </w:r>
    </w:p>
    <w:p>
      <w:pPr>
        <w:spacing w:before="80" w:after="160"/>
      </w:pPr>
      <w:r>
        <w:rPr>
          <w:rFonts w:ascii="Consolas" w:hAnsi="Consolas"/>
          <w:sz w:val="17"/>
        </w:rPr>
        <w:t>Limit  (cost=9840.65..9840.67 rows=5 width=40) (actual time=57.707..62.023 rows=5 loops=1)</w:t>
        <w:br/>
        <w:t xml:space="preserve">  Buffers: shared hit=7826 read=2593</w:t>
        <w:br/>
        <w:t xml:space="preserve">  -&gt;  Finalize GroupAggregate ...</w:t>
        <w:br/>
        <w:t xml:space="preserve">        -&gt;  Gather Merge  (Workers Planned: 2, Workers Launched: 2)</w:t>
        <w:br/>
        <w:t xml:space="preserve">              -&gt;  Partial GroupAggregate</w:t>
        <w:br/>
        <w:t xml:space="preserve">                    -&gt;  Hash Join  (Hash Cond: (pr.categoria_id = c.id))</w:t>
        <w:br/>
        <w:t xml:space="preserve">                          -&gt;  Nested Loop</w:t>
        <w:br/>
        <w:t xml:space="preserve">                                -&gt;  Hash Join  (Hash Cond: (dp.pedido_id = ped.id))</w:t>
        <w:br/>
        <w:t xml:space="preserve">                                      -&gt;  Parallel Seq Scan on detalle_pedido dp</w:t>
        <w:br/>
        <w:t xml:space="preserve">                                            (actual time=0.321..13.764 rows=200000 loops=3)</w:t>
        <w:br/>
        <w:t xml:space="preserve">                                      -&gt;  Bitmap Heap Scan on pedido ped (398 filas)</w:t>
        <w:br/>
        <w:t xml:space="preserve">                                -&gt;  Index Scan using producto_pkey on producto pr</w:t>
        <w:br/>
        <w:t xml:space="preserve">                                      (actual time=0.006..0.006 rows=1 loops=1672)</w:t>
        <w:br/>
        <w:t>Planning Time: 8.658 ms</w:t>
        <w:br/>
        <w:t>Execution Time: 62.276 ms</w:t>
      </w:r>
    </w:p>
    <w:p>
      <w:pPr>
        <w:pStyle w:val="ListBullet"/>
      </w:pPr>
      <w:r>
        <w:rPr>
          <w:b/>
        </w:rPr>
        <w:t>Tiempo de ejecución:</w:t>
      </w:r>
      <w:r>
        <w:t xml:space="preserve"> </w:t>
      </w:r>
      <w:r>
        <w:rPr>
          <w:b/>
        </w:rPr>
        <w:t>≈ 50–62 ms</w:t>
      </w:r>
      <w:r>
        <w:t xml:space="preserve"> por corrida (promedios repetidos: 62,3 / 50,3 / 49,7 / 52,0 / 51,7 ms).</w:t>
      </w:r>
    </w:p>
    <w:p>
      <w:pPr>
        <w:pStyle w:val="ListBullet"/>
      </w:pPr>
      <w:r>
        <w:rPr>
          <w:b/>
        </w:rPr>
        <w:t>Nodo que domina el costo:</w:t>
      </w:r>
      <w:r>
        <w:t xml:space="preserve"> el </w:t>
      </w:r>
      <w:r>
        <w:rPr>
          <w:b/>
        </w:rPr>
        <w:t>`Parallel Seq Scan` sobre `detalle_pedido`</w:t>
      </w:r>
      <w:r>
        <w:t xml:space="preserve">: lee </w:t>
      </w:r>
      <w:r>
        <w:rPr>
          <w:b/>
        </w:rPr>
        <w:t>las 600.000 líneas de la tabla</w:t>
      </w:r>
      <w:r>
        <w:t xml:space="preserve"> (200.000 filas × 3 procesos en paralelo) para filtrar después las 1.672 líneas que realmente pertenecen al día. Es el nodo con mayor costo acumulado (</w:t>
      </w:r>
      <w:r>
        <w:rPr>
          <w:rFonts w:ascii="Consolas" w:hAnsi="Consolas"/>
          <w:sz w:val="19"/>
        </w:rPr>
        <w:t>cost=7079</w:t>
      </w:r>
      <w:r>
        <w:t xml:space="preserve"> de un total de ~8.837 en el subárbol) y, junto a los </w:t>
      </w:r>
      <w:r>
        <w:rPr>
          <w:b/>
        </w:rPr>
        <w:t>1.672 `Index Scan` sobre `producto_pkey`</w:t>
      </w:r>
      <w:r>
        <w:t xml:space="preserve"> que lo alimentan (≈ 5.000 buffers), concentra casi todas las lecturas del plan: </w:t>
      </w:r>
      <w:r>
        <w:rPr>
          <w:rFonts w:ascii="Consolas" w:hAnsi="Consolas"/>
          <w:sz w:val="19"/>
        </w:rPr>
        <w:t>shared hit=7826 read=2593</w:t>
      </w:r>
      <w:r>
        <w:t xml:space="preserve"> (</w:t>
      </w:r>
      <w:r>
        <w:rPr>
          <w:b/>
        </w:rPr>
        <w:t>≈ 10.400 buffers ≈ 83 MB</w:t>
      </w:r>
      <w:r>
        <w:t xml:space="preserve"> por cada ejecución del panel).</w:t>
      </w:r>
    </w:p>
    <w:p>
      <w:r>
        <w:t xml:space="preserve">Es exactamente el síntoma que describe el enunciado: el reporte consulta pocas filas del día, pero el plan no tiene dónde "pararse" y recorre entero el detalle (más 1.672 accesos individuales a </w:t>
      </w:r>
      <w:r>
        <w:rPr>
          <w:rFonts w:ascii="Consolas" w:hAnsi="Consolas"/>
          <w:sz w:val="19"/>
        </w:rPr>
        <w:t>producto</w:t>
      </w:r>
      <w:r>
        <w:t>) por cada invocación.</w:t>
      </w:r>
    </w:p>
    <w:p>
      <w:pPr>
        <w:pStyle w:val="Heading3"/>
      </w:pPr>
      <w:r>
        <w:t>b) Patrón elegido: tabla resumen mantenida con disparadores</w:t>
      </w:r>
    </w:p>
    <w:p>
      <w:r>
        <w:rPr>
          <w:b/>
        </w:rPr>
        <w:t>Elección: tabla resumen precalculada (`venta_categoria_diaria`) mantenida por disparadores</w:t>
      </w:r>
      <w:r>
        <w:t>, no vista materializada.</w:t>
      </w:r>
    </w:p>
    <w:p>
      <w:r>
        <w:t xml:space="preserve">1. </w:t>
      </w:r>
      <w:r>
        <w:rPr>
          <w:b/>
        </w:rPr>
        <w:t>Qué evidencia motiva la decisión.</w:t>
      </w:r>
      <w:r>
        <w:t xml:space="preserve"> El plan de a) domina el </w:t>
      </w:r>
      <w:r>
        <w:rPr>
          <w:rFonts w:ascii="Consolas" w:hAnsi="Consolas"/>
          <w:sz w:val="19"/>
        </w:rPr>
        <w:t>Parallel Seq Scan</w:t>
      </w:r>
      <w:r>
        <w:t xml:space="preserve"> sobre </w:t>
      </w:r>
      <w:r>
        <w:rPr>
          <w:rFonts w:ascii="Consolas" w:hAnsi="Consolas"/>
          <w:sz w:val="19"/>
        </w:rPr>
        <w:t>detalle_pedido</w:t>
      </w:r>
      <w:r>
        <w:t xml:space="preserve"> (600.000 filas leídas, ~83 MB de buffers) para producir 10 grupos. La información que el panel necesita —monto y cantidad de líneas por categoría y día— es </w:t>
      </w:r>
      <w:r>
        <w:rPr>
          <w:b/>
        </w:rPr>
        <w:t>función determinística</w:t>
      </w:r>
      <w:r>
        <w:t xml:space="preserve"> de la fuente, y su volumen real es minúsculo: 10 categorías × 2.814 días = 28.140 filas agregadas contra 600.000 filas de detalle. Precalcularlas elimina por completo el recorrido y las reuniones.</w:t>
      </w:r>
    </w:p>
    <w:p>
      <w:r>
        <w:t xml:space="preserve">2. </w:t>
      </w:r>
      <w:r>
        <w:rPr>
          <w:b/>
        </w:rPr>
        <w:t>Qué garantiza que el dato redundante no se desincronice.</w:t>
      </w:r>
      <w:r>
        <w:t xml:space="preserve"> La única vía de escritura de la tabla resumen es </w:t>
      </w:r>
      <w:r>
        <w:rPr>
          <w:rFonts w:ascii="Consolas" w:hAnsi="Consolas"/>
          <w:sz w:val="19"/>
        </w:rPr>
        <w:t>fn_recalculo_venta_categoria(fecha)</w:t>
      </w:r>
      <w:r>
        <w:t xml:space="preserve">, que </w:t>
      </w:r>
      <w:r>
        <w:rPr>
          <w:b/>
        </w:rPr>
        <w:t>borra y recalcula el día completo desde la fuente de verdad</w:t>
      </w:r>
      <w:r>
        <w:t xml:space="preserve">; los disparadores la invocan ante cualquier cambio que pueda alterar el reporte: </w:t>
      </w:r>
      <w:r>
        <w:rPr>
          <w:rFonts w:ascii="Consolas" w:hAnsi="Consolas"/>
          <w:sz w:val="19"/>
        </w:rPr>
        <w:t>INSERT</w:t>
      </w:r>
      <w:r>
        <w:t>/</w:t>
      </w:r>
      <w:r>
        <w:rPr>
          <w:rFonts w:ascii="Consolas" w:hAnsi="Consolas"/>
          <w:sz w:val="19"/>
        </w:rPr>
        <w:t>UPDATE</w:t>
      </w:r>
      <w:r>
        <w:t>/</w:t>
      </w:r>
      <w:r>
        <w:rPr>
          <w:rFonts w:ascii="Consolas" w:hAnsi="Consolas"/>
          <w:sz w:val="19"/>
        </w:rPr>
        <w:t>DELETE</w:t>
      </w:r>
      <w:r>
        <w:t xml:space="preserve"> sobre </w:t>
      </w:r>
      <w:r>
        <w:rPr>
          <w:rFonts w:ascii="Consolas" w:hAnsi="Consolas"/>
          <w:sz w:val="19"/>
        </w:rPr>
        <w:t>detalle_pedido</w:t>
      </w:r>
      <w:r>
        <w:t xml:space="preserve"> (nivel sentencia, con tablas de transición: se recalculan los días de los pedidos afectados, en ambos lados de un </w:t>
      </w:r>
      <w:r>
        <w:rPr>
          <w:rFonts w:ascii="Consolas" w:hAnsi="Consolas"/>
          <w:sz w:val="19"/>
        </w:rPr>
        <w:t>UPDATE</w:t>
      </w:r>
      <w:r>
        <w:t xml:space="preserve">) y </w:t>
      </w:r>
      <w:r>
        <w:rPr>
          <w:rFonts w:ascii="Consolas" w:hAnsi="Consolas"/>
          <w:sz w:val="19"/>
        </w:rPr>
        <w:t>UPDATE</w:t>
      </w:r>
      <w:r>
        <w:t xml:space="preserve"> de </w:t>
      </w:r>
      <w:r>
        <w:rPr>
          <w:rFonts w:ascii="Consolas" w:hAnsi="Consolas"/>
          <w:sz w:val="19"/>
        </w:rPr>
        <w:t>pedido.fecha</w:t>
      </w:r>
      <w:r>
        <w:t xml:space="preserve"> o </w:t>
      </w:r>
      <w:r>
        <w:rPr>
          <w:rFonts w:ascii="Consolas" w:hAnsi="Consolas"/>
          <w:sz w:val="19"/>
        </w:rPr>
        <w:t>pedido.eliminado</w:t>
      </w:r>
      <w:r>
        <w:t xml:space="preserve"> (nivel fila). Como el cálculo siempre parte de cero desde el origen y es atómico (borrado + inserción en la misma transacción), no puede acumular desvíos parciales; y cada INSERT/UPDATE/DELETE sobre </w:t>
      </w:r>
      <w:r>
        <w:rPr>
          <w:rFonts w:ascii="Consolas" w:hAnsi="Consolas"/>
          <w:sz w:val="19"/>
        </w:rPr>
        <w:t>detalle_pedido</w:t>
      </w:r>
      <w:r>
        <w:t xml:space="preserve"> dispara </w:t>
      </w:r>
      <w:r>
        <w:rPr>
          <w:b/>
        </w:rPr>
        <w:t>un único DELETE+INSERT sobre ~10 filas del día</w:t>
      </w:r>
      <w:r>
        <w:t xml:space="preserve"> (índice por </w:t>
      </w:r>
      <w:r>
        <w:rPr>
          <w:rFonts w:ascii="Consolas" w:hAnsi="Consolas"/>
          <w:sz w:val="19"/>
        </w:rPr>
        <w:t>(fecha, total_vendido)</w:t>
      </w:r>
      <w:r>
        <w:t>), costo constante e imperceptible para el escritor. Además, el script de auditoría de (e) comprueba periódicamente la igualdad con la fuente.</w:t>
      </w:r>
    </w:p>
    <w:p>
      <w:r>
        <w:t xml:space="preserve">3. </w:t>
      </w:r>
      <w:r>
        <w:rPr>
          <w:b/>
        </w:rPr>
        <w:t>¿Es reversible sin pérdida?</w:t>
      </w:r>
      <w:r>
        <w:t xml:space="preserve"> Sí. No se modificó ninguna fila ni columna del esquema original: los objetos creados son puramente aditivos (una tabla nueva, un índice, funciones y disparadores). La reversión consiste en </w:t>
      </w:r>
      <w:r>
        <w:rPr>
          <w:rFonts w:ascii="Consolas" w:hAnsi="Consolas"/>
          <w:sz w:val="19"/>
        </w:rPr>
        <w:t>DROP</w:t>
      </w:r>
      <w:r>
        <w:t xml:space="preserve"> de esos objetos (script de reversa incluido en el archivo, sección [8]) y el reporte vuelve a resolverse con la consulta normalizada, con idéntico resultado. </w:t>
      </w:r>
      <w:r>
        <w:rPr>
          <w:b/>
        </w:rPr>
        <w:t>Nada que re-sincronizar, porque la fuente de verdad nunca se tocó.</w:t>
      </w:r>
    </w:p>
    <w:p>
      <w:r>
        <w:t xml:space="preserve">Una vista materializada descartada: </w:t>
      </w:r>
      <w:r>
        <w:rPr>
          <w:rFonts w:ascii="Consolas" w:hAnsi="Consolas"/>
          <w:sz w:val="19"/>
        </w:rPr>
        <w:t>REFRESH MATERIALIZED VIEW</w:t>
      </w:r>
      <w:r>
        <w:t xml:space="preserve"> recalcula todo el histórico (no el día), es una operación pesada que no puede ejecutarse con frecuencia, y sin </w:t>
      </w:r>
      <w:r>
        <w:rPr>
          <w:rFonts w:ascii="Consolas" w:hAnsi="Consolas"/>
          <w:sz w:val="19"/>
        </w:rPr>
        <w:t>CONCURRENTLY</w:t>
      </w:r>
      <w:r>
        <w:t xml:space="preserve"> deja la vista ilegible durante el refresh; </w:t>
      </w:r>
      <w:r>
        <w:rPr>
          <w:rFonts w:ascii="Consolas" w:hAnsi="Consolas"/>
          <w:sz w:val="19"/>
        </w:rPr>
        <w:t>CONCURRENTLY</w:t>
      </w:r>
      <w:r>
        <w:t xml:space="preserve"> exige índice único, rehace todo el barrido igual y aun así sólo garantiza consistencia al final del refresh. Para un panel que se consulta muchas veces por minuto y exige dato en tiempo real, la tabla resumen con disparadores es el patrón correcto.</w:t>
      </w:r>
    </w:p>
    <w:p>
      <w:pPr>
        <w:pStyle w:val="Heading3"/>
      </w:pPr>
      <w:r>
        <w:t>c) Implementación (script completo)</w:t>
      </w:r>
    </w:p>
    <w:p>
      <w:r>
        <w:t xml:space="preserve">En </w:t>
      </w:r>
      <w:r>
        <w:rPr>
          <w:rFonts w:ascii="Consolas" w:hAnsi="Consolas"/>
          <w:sz w:val="19"/>
        </w:rPr>
        <w:t>tp_desnormalizacion_top_categorias.sql</w:t>
      </w:r>
      <w:r>
        <w:t>, secciones [2] a [4]:</w:t>
      </w:r>
    </w:p>
    <w:p>
      <w:pPr>
        <w:spacing w:before="80" w:after="160"/>
      </w:pPr>
      <w:r>
        <w:rPr>
          <w:rFonts w:ascii="Consolas" w:hAnsi="Consolas"/>
          <w:sz w:val="17"/>
        </w:rPr>
        <w:t>CREATE TABLE venta_categoria_diaria (</w:t>
        <w:br/>
        <w:t xml:space="preserve">    fecha           DATE NOT NULL,</w:t>
        <w:br/>
        <w:t xml:space="preserve">    categoria_id    INTEGER NOT NULL REFERENCES categoria (id),</w:t>
        <w:br/>
        <w:t xml:space="preserve">    total_vendido   NUMERIC(14,2) NOT NULL DEFAULT 0,</w:t>
        <w:br/>
        <w:t xml:space="preserve">    cantidad_lineas BIGINT       NOT NULL DEFAULT 0,</w:t>
        <w:br/>
        <w:t xml:space="preserve">    PRIMARY KEY (fecha, categoria_id)</w:t>
        <w:br/>
        <w:t>);</w:t>
        <w:br/>
        <w:t>CREATE INDEX idx_venta_categoria_diaria_fecha_total</w:t>
        <w:br/>
        <w:t xml:space="preserve">    ON venta_categoria_diaria (fecha, total_vendido DESC);</w:t>
        <w:br/>
        <w:br/>
        <w:t>-- Recalcula un día completo desde la fuente de verdad</w:t>
        <w:br/>
        <w:t>CREATE OR REPLACE FUNCTION fn_recalculo_venta_categoria (p_fecha DATE)</w:t>
        <w:br/>
        <w:t>RETURNS VOID LANGUAGE plpgsql AS $$</w:t>
        <w:br/>
        <w:t>BEGIN</w:t>
        <w:br/>
        <w:t xml:space="preserve">    DELETE FROM venta_categoria_diaria v WHERE v.fecha = p_fecha;</w:t>
        <w:br/>
        <w:t xml:space="preserve">    INSERT INTO venta_categoria_diaria (fecha, categoria_id, total_vendido, cantidad_lineas)</w:t>
        <w:br/>
        <w:t xml:space="preserve">    SELECT   ped.fecha::date, pr.categoria_id,</w:t>
        <w:br/>
        <w:t xml:space="preserve">             SUM (dp.cantidad * dp.precio_unitario), COUNT (*)</w:t>
        <w:br/>
        <w:t xml:space="preserve">    FROM     detalle_pedido dp</w:t>
        <w:br/>
        <w:t xml:space="preserve">    JOIN     pedido ped ON ped.id = dp.pedido_id AND NOT ped.eliminado</w:t>
        <w:br/>
        <w:t xml:space="preserve">    JOIN     producto pr ON pr.id = dp.producto_id</w:t>
        <w:br/>
        <w:t xml:space="preserve">    WHERE    ped.fecha &gt;= p_fecha AND ped.fecha &lt; p_fecha + 1</w:t>
        <w:br/>
        <w:t xml:space="preserve">    GROUP BY 1, 2;</w:t>
        <w:br/>
        <w:t>END; $$;</w:t>
      </w:r>
    </w:p>
    <w:p>
      <w:r>
        <w:t xml:space="preserve">Disparadores: tres sobre </w:t>
      </w:r>
      <w:r>
        <w:rPr>
          <w:rFonts w:ascii="Consolas" w:hAnsi="Consolas"/>
          <w:sz w:val="19"/>
        </w:rPr>
        <w:t>detalle_pedido</w:t>
      </w:r>
      <w:r>
        <w:t xml:space="preserve"> (</w:t>
      </w:r>
      <w:r>
        <w:rPr>
          <w:rFonts w:ascii="Consolas" w:hAnsi="Consolas"/>
          <w:sz w:val="19"/>
        </w:rPr>
        <w:t>AFTER INSERT</w:t>
      </w:r>
      <w:r>
        <w:t xml:space="preserve">, </w:t>
      </w:r>
      <w:r>
        <w:rPr>
          <w:rFonts w:ascii="Consolas" w:hAnsi="Consolas"/>
          <w:sz w:val="19"/>
        </w:rPr>
        <w:t>AFTER UPDATE</w:t>
      </w:r>
      <w:r>
        <w:t xml:space="preserve">, </w:t>
      </w:r>
      <w:r>
        <w:rPr>
          <w:rFonts w:ascii="Consolas" w:hAnsi="Consolas"/>
          <w:sz w:val="19"/>
        </w:rPr>
        <w:t>AFTER DELETE</w:t>
      </w:r>
      <w:r>
        <w:t xml:space="preserve"> a nivel sentencia con tablas de transición —PostgreSQL no permite varios eventos con tablas de transición en un único trigger—) y uno sobre </w:t>
      </w:r>
      <w:r>
        <w:rPr>
          <w:rFonts w:ascii="Consolas" w:hAnsi="Consolas"/>
          <w:sz w:val="19"/>
        </w:rPr>
        <w:t>pedido</w:t>
      </w:r>
      <w:r>
        <w:t xml:space="preserve"> (</w:t>
      </w:r>
      <w:r>
        <w:rPr>
          <w:rFonts w:ascii="Consolas" w:hAnsi="Consolas"/>
          <w:sz w:val="19"/>
        </w:rPr>
        <w:t>AFTER UPDATE ... WHEN (OLD.fecha IS DISTINCT FROM NEW.fecha OR OLD.eliminado IS DISTINCT FROM NEW.eliminado)</w:t>
      </w:r>
      <w:r>
        <w:t xml:space="preserve">), todos delegando en </w:t>
      </w:r>
      <w:r>
        <w:rPr>
          <w:rFonts w:ascii="Consolas" w:hAnsi="Consolas"/>
          <w:sz w:val="19"/>
        </w:rPr>
        <w:t>fn_recalculo_venta_categoria</w:t>
      </w:r>
      <w:r>
        <w:t xml:space="preserve"> sobre los días involucrados. La carga histórica (backfill) se hizo con un único barrido agregado:</w:t>
      </w:r>
    </w:p>
    <w:p>
      <w:pPr>
        <w:spacing w:before="80" w:after="160"/>
      </w:pPr>
      <w:r>
        <w:rPr>
          <w:rFonts w:ascii="Consolas" w:hAnsi="Consolas"/>
          <w:sz w:val="17"/>
        </w:rPr>
        <w:t>INSERT INTO venta_categoria_diaria (fecha, categoria_id, total_vendido, cantidad_lineas)</w:t>
        <w:br/>
        <w:t>SELECT   ped.fecha::date, pr.categoria_id,</w:t>
        <w:br/>
        <w:t xml:space="preserve">         SUM (dp.cantidad * dp.precio_unitario), COUNT (*)</w:t>
        <w:br/>
        <w:t>FROM     detalle_pedido dp</w:t>
        <w:br/>
        <w:t>JOIN     pedido ped ON ped.id = dp.pedido_id AND NOT ped.eliminado</w:t>
        <w:br/>
        <w:t>JOIN     producto pr ON pr.id = dp.producto_id</w:t>
        <w:br/>
        <w:t>GROUP BY 1, 2;</w:t>
        <w:br/>
        <w:t>-- 2.814 filas-día-categoría, 590.000 líneas cubiertas (2025-01-01 a 2026-09-22)</w:t>
      </w:r>
    </w:p>
    <w:p>
      <w:r>
        <w:rPr>
          <w:b/>
        </w:rPr>
        <w:t>Demostración de sincronización en vivo</w:t>
      </w:r>
      <w:r>
        <w:t xml:space="preserve"> (incluida en el script, sección [6]): se inserta una línea de 50 unidades de la categoría </w:t>
      </w:r>
      <w:r>
        <w:rPr>
          <w:i/>
        </w:rPr>
        <w:t>Bebidas</w:t>
      </w:r>
      <w:r>
        <w:t xml:space="preserve"> en un pedido del día medido y el resumen queda actualizado en el mismo instante (</w:t>
      </w:r>
      <w:r>
        <w:rPr>
          <w:rFonts w:ascii="Consolas" w:hAnsi="Consolas"/>
          <w:sz w:val="19"/>
        </w:rPr>
        <w:t>Bebidas: 2.579.813,60 → 2.623.348,60</w:t>
      </w:r>
      <w:r>
        <w:t xml:space="preserve">; líneas 318 → 319); al borrar la línea, el trigger de </w:t>
      </w:r>
      <w:r>
        <w:rPr>
          <w:rFonts w:ascii="Consolas" w:hAnsi="Consolas"/>
          <w:sz w:val="19"/>
        </w:rPr>
        <w:t>DELETE</w:t>
      </w:r>
      <w:r>
        <w:t xml:space="preserve"> devuelve el resumen al valor original exacto.</w:t>
      </w:r>
    </w:p>
    <w:p>
      <w:pPr>
        <w:pStyle w:val="Heading3"/>
      </w:pPr>
      <w:r>
        <w:t>d) Consulta desde la estructura desnormalizada y comparación</w:t>
      </w:r>
    </w:p>
    <w:p>
      <w:pPr>
        <w:spacing w:before="80" w:after="160"/>
      </w:pPr>
      <w:r>
        <w:rPr>
          <w:rFonts w:ascii="Consolas" w:hAnsi="Consolas"/>
          <w:sz w:val="17"/>
        </w:rPr>
        <w:t>EXPLAIN (ANALYZE, BUFFERS)</w:t>
        <w:br/>
        <w:t>SELECT c.nombre              AS categoria,</w:t>
        <w:br/>
        <w:t xml:space="preserve">       v.total_vendido</w:t>
        <w:br/>
        <w:t>FROM   venta_categoria_diaria v</w:t>
        <w:br/>
        <w:t>JOIN   categoria c ON c.id = v.categoria_id</w:t>
        <w:br/>
        <w:t>WHERE  v.fecha = DATE '2025-04-24'</w:t>
        <w:br/>
        <w:t>ORDER  BY v.total_vendido DESC</w:t>
        <w:br/>
        <w:t>LIMIT  5;</w:t>
      </w:r>
    </w:p>
    <w:p>
      <w:pPr>
        <w:spacing w:before="80" w:after="160"/>
      </w:pPr>
      <w:r>
        <w:rPr>
          <w:rFonts w:ascii="Consolas" w:hAnsi="Consolas"/>
          <w:sz w:val="17"/>
        </w:rPr>
        <w:t>Limit  (cost=0.28..21.67 rows=5 width=16) (actual time=0.015..0.020 rows=5 loops=1)</w:t>
        <w:br/>
        <w:t xml:space="preserve">  Buffers: shared hit=7</w:t>
        <w:br/>
        <w:t xml:space="preserve">  -&gt;  Nested Loop (Join Filter: (v.categoria_id = c.id), Rows Removed by Join Filter: 30)</w:t>
        <w:br/>
        <w:t xml:space="preserve">        -&gt;  Index Scan using idx_venta_categoria_diaria_fecha_total on venta_categoria_diaria v</w:t>
        <w:br/>
        <w:t xml:space="preserve">              (actual time=0.003..0.004 rows=5 loops=1)</w:t>
        <w:br/>
        <w:t xml:space="preserve">              Index Cond: (fecha = '2025-04-24'::date)</w:t>
        <w:br/>
        <w:t xml:space="preserve">        -&gt;  Materialize  (rows=7 loops=5)</w:t>
        <w:br/>
        <w:t xml:space="preserve">              -&gt;  Seq Scan on categoria c (10 filas)</w:t>
        <w:br/>
        <w:t>Planning Time: 0.148 ms</w:t>
        <w:br/>
        <w:t>Execution Time: 0.029 ms</w:t>
      </w:r>
    </w:p>
    <w:p>
      <w:r>
        <w:t>El resultado es idéntico al de la consulta original (mismas 5 categorías y montos). Tabla comparativa: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ANTES (normalizada)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DESPUÉS (desnormalizada)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Tiempo de ejecución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50,3 ms</w:t>
            </w:r>
            <w:r>
              <w:rPr>
                <w:sz w:val="18"/>
              </w:rPr>
              <w:t xml:space="preserve"> (promedio de corridas: 49,7 – 62,3 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0,029 ms</w:t>
            </w:r>
            <w:r>
              <w:rPr>
                <w:sz w:val="18"/>
              </w:rPr>
              <w:t xml:space="preserve"> (corridas repetidas: 0,029 – 0,117 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Tipo de nodo dominante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Parallel Seq Scan</w:t>
            </w:r>
            <w:r>
              <w:rPr>
                <w:sz w:val="18"/>
              </w:rPr>
              <w:t xml:space="preserve"> sobre </w:t>
            </w:r>
            <w:r>
              <w:rPr>
                <w:rFonts w:ascii="Consolas" w:hAnsi="Consolas"/>
                <w:sz w:val="18"/>
              </w:rPr>
              <w:t>detalle_pedido</w:t>
            </w:r>
            <w:r>
              <w:rPr>
                <w:sz w:val="18"/>
              </w:rPr>
              <w:t xml:space="preserve"> (600.000 filas leídas) + 1.672 </w:t>
            </w:r>
            <w:r>
              <w:rPr>
                <w:rFonts w:ascii="Consolas" w:hAnsi="Consolas"/>
                <w:sz w:val="18"/>
              </w:rPr>
              <w:t>Index Scan</w:t>
            </w:r>
            <w:r>
              <w:rPr>
                <w:sz w:val="18"/>
              </w:rPr>
              <w:t xml:space="preserve"> sobre </w:t>
            </w:r>
            <w:r>
              <w:rPr>
                <w:rFonts w:ascii="Consolas" w:hAnsi="Consolas"/>
                <w:sz w:val="18"/>
              </w:rPr>
              <w:t>producto_pkey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Index Scan</w:t>
            </w:r>
            <w:r>
              <w:rPr>
                <w:sz w:val="18"/>
              </w:rPr>
              <w:t xml:space="preserve"> sobre </w:t>
            </w:r>
            <w:r>
              <w:rPr>
                <w:rFonts w:ascii="Consolas" w:hAnsi="Consolas"/>
                <w:sz w:val="18"/>
              </w:rPr>
              <w:t>idx_venta_categoria_diaria_fecha_total</w:t>
            </w:r>
            <w:r>
              <w:rPr>
                <w:sz w:val="18"/>
              </w:rPr>
              <w:t xml:space="preserve"> (5 filas)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Buffers (hit / read)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7.826 / 2.593 (≈ 83 MB)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 / 0 (≈ 56 KB)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Filas leídas del detalle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600.000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Ganancia: ~1.700× (dos órdenes de magnitud).</w:t>
      </w:r>
      <w:r>
        <w:t xml:space="preserve"> El plan pasó de recorrer entero el detalle y reunir cuatro tablas a un rango de índice de 5 filas sobre la tabla resumen más una materialización de las 10 categorías.</w:t>
      </w:r>
    </w:p>
    <w:p>
      <w:pPr>
        <w:pStyle w:val="Heading3"/>
      </w:pPr>
      <w:r>
        <w:t>e) Script de auditoría de desincronización</w:t>
      </w:r>
    </w:p>
    <w:p>
      <w:r>
        <w:t xml:space="preserve">Compara la fuente de verdad con el dato redundante en ambos sentidos (filas que faltan, filas que sobran y valores distintos) usando un </w:t>
      </w:r>
      <w:r>
        <w:rPr>
          <w:rFonts w:ascii="Consolas" w:hAnsi="Consolas"/>
          <w:sz w:val="19"/>
        </w:rPr>
        <w:t>FULL JOIN</w:t>
      </w:r>
      <w:r>
        <w:t xml:space="preserve"> entre el agregado recalculado al vuelo y la tabla resumen:</w:t>
      </w:r>
    </w:p>
    <w:p>
      <w:pPr>
        <w:spacing w:before="80" w:after="160"/>
      </w:pPr>
      <w:r>
        <w:rPr>
          <w:rFonts w:ascii="Consolas" w:hAnsi="Consolas"/>
          <w:sz w:val="17"/>
        </w:rPr>
        <w:t>WITH esperado AS (</w:t>
        <w:br/>
        <w:t xml:space="preserve">    SELECT   ped.fecha::date AS fecha, pr.categoria_id,</w:t>
        <w:br/>
        <w:t xml:space="preserve">             SUM (dp.cantidad * dp.precio_unitario) AS total_vendido,</w:t>
        <w:br/>
        <w:t xml:space="preserve">             COUNT (*)       AS cantidad_lineas</w:t>
        <w:br/>
        <w:t xml:space="preserve">    FROM     detalle_pedido dp</w:t>
        <w:br/>
        <w:t xml:space="preserve">    JOIN     pedido ped ON ped.id = dp.pedido_id AND NOT ped.eliminado</w:t>
        <w:br/>
        <w:t xml:space="preserve">    JOIN     producto pr ON pr.id  = dp.producto_id</w:t>
        <w:br/>
        <w:t xml:space="preserve">    GROUP BY 1, 2</w:t>
        <w:br/>
        <w:t>),</w:t>
        <w:br/>
        <w:t>almacenado AS (</w:t>
        <w:br/>
        <w:t xml:space="preserve">    SELECT fecha, categoria_id, total_vendido, cantidad_lineas</w:t>
        <w:br/>
        <w:t xml:space="preserve">    FROM   venta_categoria_diaria</w:t>
        <w:br/>
        <w:t>)</w:t>
        <w:br/>
        <w:t>-- ... FULL JOIN + condiciones de desvío (ver archivo, sección [7])</w:t>
      </w:r>
    </w:p>
    <w:p>
      <w:r>
        <w:t xml:space="preserve">Resultado sobre la base ya migrada (2.814 filas agregadas vs. la fuente completa): </w:t>
      </w:r>
      <w:r>
        <w:rPr>
          <w:b/>
        </w:rPr>
        <w:t>0 filas de desincronización</w:t>
      </w:r>
      <w:r>
        <w:t>, tal como exige el enunciado.</w:t>
      </w:r>
    </w:p>
    <w:p>
      <w:r>
        <w:t>Como prueba de que la auditoría funciona, el script incluye una sección que fuerza un desvío (suma 1 a los totales del día medido) y la auditoría detecta las 9 filas alteradas; luego se repara con la única vía de escritura válida (</w:t>
      </w:r>
      <w:r>
        <w:rPr>
          <w:rFonts w:ascii="Consolas" w:hAnsi="Consolas"/>
          <w:sz w:val="19"/>
        </w:rPr>
        <w:t>fn_recalculo_venta_categoria('2025-04-24')</w:t>
      </w:r>
      <w:r>
        <w:t xml:space="preserve">) y el contador de desvíos vuelve a </w:t>
      </w:r>
      <w:r>
        <w:rPr>
          <w:b/>
        </w:rPr>
        <w:t>0</w:t>
      </w:r>
      <w:r>
        <w:t>.</w:t>
      </w:r>
    </w:p>
    <w:p>
      <w:pPr>
        <w:pStyle w:val="Heading2"/>
      </w:pPr>
      <w:r>
        <w:t>Entregables</w:t>
      </w:r>
    </w:p>
    <w:p>
      <w:r>
        <w:t xml:space="preserve">1. </w:t>
      </w:r>
      <w:r>
        <w:rPr>
          <w:rFonts w:ascii="Consolas" w:hAnsi="Consolas"/>
          <w:sz w:val="19"/>
        </w:rPr>
        <w:t>tp_fnbc_control_lote.sql</w:t>
      </w:r>
      <w:r>
        <w:t xml:space="preserve"> — esquema inicial + instancia, verificación de claves, descomposición sin pérdida, vista de compatibilidad y migración verificada (Parte 1).</w:t>
      </w:r>
    </w:p>
    <w:p>
      <w:r>
        <w:t xml:space="preserve">2. </w:t>
      </w:r>
      <w:r>
        <w:rPr>
          <w:rFonts w:ascii="Consolas" w:hAnsi="Consolas"/>
          <w:sz w:val="19"/>
        </w:rPr>
        <w:t>tp_desnormalizacion_top_categorias.sql</w:t>
      </w:r>
      <w:r>
        <w:t xml:space="preserve"> — estructura desnormalizada, mecanismo de sincronización (funciones + disparadores), backfill, consulta optimizada con </w:t>
      </w:r>
      <w:r>
        <w:rPr>
          <w:rFonts w:ascii="Consolas" w:hAnsi="Consolas"/>
          <w:sz w:val="19"/>
        </w:rPr>
        <w:t>EXPLAIN ANALYZE</w:t>
      </w:r>
      <w:r>
        <w:t>, demostración de sincronización y auditoría (Parte 2).</w:t>
      </w:r>
    </w:p>
    <w:p>
      <w:r>
        <w:t>3. Este informe (</w:t>
      </w:r>
      <w:r>
        <w:rPr>
          <w:rFonts w:ascii="Consolas" w:hAnsi="Consolas"/>
          <w:sz w:val="19"/>
        </w:rPr>
        <w:t>informe_TPU4_FNBC_Desnormalizacion.docx</w:t>
      </w:r>
      <w:r>
        <w:t xml:space="preserve"> / </w:t>
      </w:r>
      <w:r>
        <w:rPr>
          <w:rFonts w:ascii="Consolas" w:hAnsi="Consolas"/>
          <w:sz w:val="19"/>
        </w:rPr>
        <w:t>.md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