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4596B" w14:textId="77777777" w:rsidR="00DF5232" w:rsidRDefault="00DF5232" w:rsidP="00DF5232">
      <w:pPr>
        <w:jc w:val="both"/>
      </w:pPr>
      <w:r>
        <w:t xml:space="preserve">The </w:t>
      </w:r>
      <w:r w:rsidRPr="00C41BC7">
        <w:rPr>
          <w:b/>
          <w:bCs/>
          <w:highlight w:val="yellow"/>
        </w:rPr>
        <w:t>active laser medium</w:t>
      </w:r>
      <w:r w:rsidRPr="00C41BC7">
        <w:rPr>
          <w:highlight w:val="yellow"/>
        </w:rPr>
        <w:t xml:space="preserve"> (also called gain medium or lasing medium) is the source of optical gain within a laser</w:t>
      </w:r>
      <w:r>
        <w:t>. The gain results from the stimulated emission of photons through electronic or molecular transitions to a lower energy state from a higher energy state previously populated by a pump source.</w:t>
      </w:r>
    </w:p>
    <w:p w14:paraId="1C17365D" w14:textId="77777777" w:rsidR="00DF5232" w:rsidRDefault="00DF5232" w:rsidP="00DF5232">
      <w:pPr>
        <w:jc w:val="both"/>
      </w:pPr>
    </w:p>
    <w:p w14:paraId="082C4376" w14:textId="07C1B187" w:rsidR="00DF5232" w:rsidRDefault="00DF5232" w:rsidP="00DF5232">
      <w:pPr>
        <w:jc w:val="both"/>
      </w:pPr>
      <w:r>
        <w:t>Examples of active laser media include:</w:t>
      </w:r>
    </w:p>
    <w:p w14:paraId="12F66DBC" w14:textId="4C4ED802" w:rsidR="00DF5232" w:rsidRDefault="00DF5232" w:rsidP="00DF5232">
      <w:pPr>
        <w:pStyle w:val="ListParagraph"/>
        <w:numPr>
          <w:ilvl w:val="0"/>
          <w:numId w:val="1"/>
        </w:numPr>
        <w:jc w:val="both"/>
      </w:pPr>
      <w:r w:rsidRPr="00DF5232">
        <w:rPr>
          <w:b/>
          <w:bCs/>
        </w:rPr>
        <w:t>Certain crystals, typically doped with rare-earth ions</w:t>
      </w:r>
      <w:r>
        <w:rPr>
          <w:b/>
          <w:bCs/>
        </w:rPr>
        <w:t xml:space="preserve">: </w:t>
      </w:r>
      <w:r>
        <w:t xml:space="preserve">neodymium, ytterbium, or erbium) or transition metal ions (titanium or chromium); most often yttrium </w:t>
      </w:r>
      <w:proofErr w:type="spellStart"/>
      <w:r>
        <w:t>aluminium</w:t>
      </w:r>
      <w:proofErr w:type="spellEnd"/>
      <w:r>
        <w:t xml:space="preserve"> garnet (Y3Al5O12), yttrium orthovanadate (YVO4), or sapphire (Al2O3);[1] and not often </w:t>
      </w:r>
      <w:proofErr w:type="spellStart"/>
      <w:r>
        <w:t>Caesium</w:t>
      </w:r>
      <w:proofErr w:type="spellEnd"/>
      <w:r>
        <w:t xml:space="preserve"> cadmium bromide (CsCdBr3)</w:t>
      </w:r>
    </w:p>
    <w:p w14:paraId="6C763072" w14:textId="58623A05" w:rsidR="00DF5232" w:rsidRDefault="00DF5232" w:rsidP="00DF5232">
      <w:pPr>
        <w:pStyle w:val="ListParagraph"/>
        <w:numPr>
          <w:ilvl w:val="0"/>
          <w:numId w:val="1"/>
        </w:numPr>
        <w:jc w:val="both"/>
      </w:pPr>
      <w:r w:rsidRPr="00DF5232">
        <w:rPr>
          <w:b/>
          <w:bCs/>
        </w:rPr>
        <w:t>Glasses</w:t>
      </w:r>
      <w:r>
        <w:t>: s</w:t>
      </w:r>
      <w:r>
        <w:t>ilicate or phosphate glasses, doped with laser-active ions</w:t>
      </w:r>
    </w:p>
    <w:p w14:paraId="3BA6EECC" w14:textId="7ACAFD3E" w:rsidR="00DF5232" w:rsidRDefault="00DF5232" w:rsidP="00DF5232">
      <w:pPr>
        <w:pStyle w:val="ListParagraph"/>
        <w:numPr>
          <w:ilvl w:val="0"/>
          <w:numId w:val="1"/>
        </w:numPr>
        <w:jc w:val="both"/>
      </w:pPr>
      <w:r w:rsidRPr="00DF5232">
        <w:rPr>
          <w:b/>
          <w:bCs/>
        </w:rPr>
        <w:t>Gases</w:t>
      </w:r>
      <w:r>
        <w:t xml:space="preserve">: </w:t>
      </w:r>
      <w:r>
        <w:t>mixtures of helium and neon (</w:t>
      </w:r>
      <w:proofErr w:type="spellStart"/>
      <w:r>
        <w:t>HeNe</w:t>
      </w:r>
      <w:proofErr w:type="spellEnd"/>
      <w:r>
        <w:t>), nitrogen, argon, carbon monoxide, carbon dioxide, or metal vapor</w:t>
      </w:r>
      <w:r>
        <w:t>s</w:t>
      </w:r>
    </w:p>
    <w:p w14:paraId="3C7B1506" w14:textId="7DDBF8B2" w:rsidR="00DF5232" w:rsidRDefault="00DF5232" w:rsidP="00DF5232">
      <w:pPr>
        <w:pStyle w:val="ListParagraph"/>
        <w:numPr>
          <w:ilvl w:val="0"/>
          <w:numId w:val="1"/>
        </w:numPr>
        <w:jc w:val="both"/>
      </w:pPr>
      <w:r w:rsidRPr="00DF5232">
        <w:rPr>
          <w:b/>
          <w:bCs/>
        </w:rPr>
        <w:t>Semiconductors</w:t>
      </w:r>
      <w:r>
        <w:t xml:space="preserve">: </w:t>
      </w:r>
      <w:r>
        <w:t>gallium arsenide (GaAs), indium gallium arsenide (</w:t>
      </w:r>
      <w:proofErr w:type="spellStart"/>
      <w:r>
        <w:t>InGaAs</w:t>
      </w:r>
      <w:proofErr w:type="spellEnd"/>
      <w:r>
        <w:t>), or gallium nitride (</w:t>
      </w:r>
      <w:proofErr w:type="spellStart"/>
      <w:r>
        <w:t>GaN</w:t>
      </w:r>
      <w:proofErr w:type="spellEnd"/>
      <w:r>
        <w:t>)</w:t>
      </w:r>
    </w:p>
    <w:p w14:paraId="0B7BF4C0" w14:textId="1DCE7CCF" w:rsidR="003C26DC" w:rsidRDefault="00DF5232" w:rsidP="00DF5232">
      <w:pPr>
        <w:pStyle w:val="ListParagraph"/>
        <w:numPr>
          <w:ilvl w:val="0"/>
          <w:numId w:val="1"/>
        </w:numPr>
        <w:jc w:val="both"/>
      </w:pPr>
      <w:r w:rsidRPr="00DF5232">
        <w:rPr>
          <w:b/>
          <w:bCs/>
        </w:rPr>
        <w:t>Liquids</w:t>
      </w:r>
      <w:r>
        <w:t xml:space="preserve">: </w:t>
      </w:r>
      <w:r>
        <w:t>dye solutions as used in dye lasers.</w:t>
      </w:r>
    </w:p>
    <w:p w14:paraId="1596D922" w14:textId="125AB74F" w:rsidR="00C315AC" w:rsidRDefault="00C315AC" w:rsidP="00C315AC">
      <w:pPr>
        <w:jc w:val="both"/>
      </w:pPr>
    </w:p>
    <w:p w14:paraId="3D371A9B" w14:textId="03C7FBAA" w:rsidR="00C315AC" w:rsidRDefault="00C315AC" w:rsidP="00C315AC">
      <w:pPr>
        <w:jc w:val="both"/>
      </w:pPr>
      <w:r w:rsidRPr="00C315AC">
        <w:t>To</w:t>
      </w:r>
      <w:r w:rsidRPr="00C315AC">
        <w:t xml:space="preserve"> fire a laser, the active gain medium must be in a nonthermal energy distribution known as a </w:t>
      </w:r>
      <w:r w:rsidRPr="006417E1">
        <w:rPr>
          <w:b/>
          <w:bCs/>
        </w:rPr>
        <w:t>population inversion</w:t>
      </w:r>
      <w:r w:rsidRPr="00C315AC">
        <w:t>.</w:t>
      </w:r>
    </w:p>
    <w:p w14:paraId="2A0E63F4" w14:textId="051D4E27" w:rsidR="006417E1" w:rsidRDefault="006417E1" w:rsidP="00C315AC">
      <w:pPr>
        <w:jc w:val="both"/>
      </w:pPr>
    </w:p>
    <w:p w14:paraId="51A7BD88" w14:textId="104702DB" w:rsidR="00EC6157" w:rsidRDefault="006417E1" w:rsidP="00C315AC">
      <w:pPr>
        <w:jc w:val="both"/>
      </w:pPr>
      <w:r>
        <w:t>Population inversion is the situation where there are a greater number of atoms in their excited state than in their ground state. This principle is necessary to produce a laser because excess photon generation is desired, and this only occurs if photons are absorbed by atoms within their excited state. Conversely, if more atoms are in their ground state, photons are absorbed without emission.</w:t>
      </w:r>
    </w:p>
    <w:p w14:paraId="0F4549AD" w14:textId="70283B93" w:rsidR="00EB599A" w:rsidRDefault="00EB599A" w:rsidP="00C315AC">
      <w:pPr>
        <w:jc w:val="both"/>
      </w:pPr>
    </w:p>
    <w:p w14:paraId="52826C6A" w14:textId="109F1054" w:rsidR="00EB599A" w:rsidRDefault="00EB599A" w:rsidP="00C315AC">
      <w:pPr>
        <w:jc w:val="both"/>
      </w:pPr>
      <w:r>
        <w:t>When atoms are excited into a highly excited energy state level, their lifetime within that state is on the order of nanoseconds, which is not long enough for stimulated absorption occurring in the order of microseconds or even milliseconds. Consequently, spontaneous emission or decay occurs. To work around this, metastable states within the energy band of an atom must be available to allow for longer lifetimes.</w:t>
      </w:r>
    </w:p>
    <w:p w14:paraId="41422648" w14:textId="21C361BD" w:rsidR="00B343C3" w:rsidRDefault="00B343C3" w:rsidP="00C315AC">
      <w:pPr>
        <w:jc w:val="both"/>
      </w:pPr>
    </w:p>
    <w:p w14:paraId="5F89515F" w14:textId="23955892" w:rsidR="00B343C3" w:rsidRDefault="00B343C3" w:rsidP="00C315AC">
      <w:pPr>
        <w:jc w:val="both"/>
      </w:pPr>
      <w:r>
        <w:t>Examples of common pump</w:t>
      </w:r>
      <w:r>
        <w:t xml:space="preserve"> sources </w:t>
      </w:r>
      <w:r>
        <w:t>are</w:t>
      </w:r>
      <w:r>
        <w:t xml:space="preserve"> electrical discharges, flashlamps, arc lamps, light from another laser, chemical reactions</w:t>
      </w:r>
      <w:r>
        <w:t xml:space="preserve">, </w:t>
      </w:r>
      <w:r>
        <w:t xml:space="preserve">and even explosive devices. The type of pump source used principally depends on the </w:t>
      </w:r>
      <w:r>
        <w:rPr>
          <w:i/>
          <w:iCs/>
        </w:rPr>
        <w:t>gain medium</w:t>
      </w:r>
      <w:r>
        <w:t>, and this also determines how the energy is transmitted to the medium.</w:t>
      </w:r>
    </w:p>
    <w:p w14:paraId="7767CE32" w14:textId="645E4C33" w:rsidR="002125F7" w:rsidRDefault="002125F7" w:rsidP="00C315A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125F7" w14:paraId="2F6E8A06" w14:textId="77777777" w:rsidTr="00C572F8">
        <w:tc>
          <w:tcPr>
            <w:tcW w:w="9350" w:type="dxa"/>
            <w:vAlign w:val="center"/>
          </w:tcPr>
          <w:p w14:paraId="308312A1" w14:textId="59950808" w:rsidR="002125F7" w:rsidRDefault="002125F7" w:rsidP="002125F7">
            <w:pPr>
              <w:jc w:val="center"/>
            </w:pPr>
            <w:r>
              <w:rPr>
                <w:noProof/>
              </w:rPr>
              <w:drawing>
                <wp:inline distT="0" distB="0" distL="0" distR="0" wp14:anchorId="4561FB6A" wp14:editId="425A1BAC">
                  <wp:extent cx="2743200" cy="119354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5575"/>
                          <a:stretch/>
                        </pic:blipFill>
                        <pic:spPr bwMode="auto">
                          <a:xfrm>
                            <a:off x="0" y="0"/>
                            <a:ext cx="2743200" cy="1193540"/>
                          </a:xfrm>
                          <a:prstGeom prst="rect">
                            <a:avLst/>
                          </a:prstGeom>
                          <a:ln>
                            <a:noFill/>
                          </a:ln>
                          <a:extLst>
                            <a:ext uri="{53640926-AAD7-44D8-BBD7-CCE9431645EC}">
                              <a14:shadowObscured xmlns:a14="http://schemas.microsoft.com/office/drawing/2010/main"/>
                            </a:ext>
                          </a:extLst>
                        </pic:spPr>
                      </pic:pic>
                    </a:graphicData>
                  </a:graphic>
                </wp:inline>
              </w:drawing>
            </w:r>
          </w:p>
        </w:tc>
      </w:tr>
      <w:tr w:rsidR="002125F7" w14:paraId="46DFE684" w14:textId="77777777" w:rsidTr="00C572F8">
        <w:tc>
          <w:tcPr>
            <w:tcW w:w="9350" w:type="dxa"/>
          </w:tcPr>
          <w:p w14:paraId="3EB1D25C" w14:textId="10049128" w:rsidR="002125F7" w:rsidRDefault="002125F7" w:rsidP="002125F7">
            <w:pPr>
              <w:jc w:val="center"/>
            </w:pPr>
            <w:r>
              <w:rPr>
                <w:noProof/>
              </w:rPr>
              <w:drawing>
                <wp:inline distT="0" distB="0" distL="0" distR="0" wp14:anchorId="1A417616" wp14:editId="431D33F4">
                  <wp:extent cx="2743200" cy="74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2262"/>
                          <a:stretch/>
                        </pic:blipFill>
                        <pic:spPr bwMode="auto">
                          <a:xfrm>
                            <a:off x="0" y="0"/>
                            <a:ext cx="2743200" cy="745215"/>
                          </a:xfrm>
                          <a:prstGeom prst="rect">
                            <a:avLst/>
                          </a:prstGeom>
                          <a:ln>
                            <a:noFill/>
                          </a:ln>
                          <a:extLst>
                            <a:ext uri="{53640926-AAD7-44D8-BBD7-CCE9431645EC}">
                              <a14:shadowObscured xmlns:a14="http://schemas.microsoft.com/office/drawing/2010/main"/>
                            </a:ext>
                          </a:extLst>
                        </pic:spPr>
                      </pic:pic>
                    </a:graphicData>
                  </a:graphic>
                </wp:inline>
              </w:drawing>
            </w:r>
          </w:p>
        </w:tc>
      </w:tr>
      <w:tr w:rsidR="002125F7" w14:paraId="5D0C1351" w14:textId="77777777" w:rsidTr="00C572F8">
        <w:tc>
          <w:tcPr>
            <w:tcW w:w="9350" w:type="dxa"/>
          </w:tcPr>
          <w:p w14:paraId="169B40A7" w14:textId="4F7AA2E3" w:rsidR="002125F7" w:rsidRDefault="002125F7" w:rsidP="002125F7">
            <w:pPr>
              <w:jc w:val="center"/>
            </w:pPr>
            <w:r>
              <w:rPr>
                <w:noProof/>
              </w:rPr>
              <w:lastRenderedPageBreak/>
              <w:drawing>
                <wp:inline distT="0" distB="0" distL="0" distR="0" wp14:anchorId="2EC7AE6A" wp14:editId="1A560805">
                  <wp:extent cx="2743200" cy="72244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4997" b="28112"/>
                          <a:stretch/>
                        </pic:blipFill>
                        <pic:spPr bwMode="auto">
                          <a:xfrm>
                            <a:off x="0" y="0"/>
                            <a:ext cx="2743200" cy="722449"/>
                          </a:xfrm>
                          <a:prstGeom prst="rect">
                            <a:avLst/>
                          </a:prstGeom>
                          <a:ln>
                            <a:noFill/>
                          </a:ln>
                          <a:extLst>
                            <a:ext uri="{53640926-AAD7-44D8-BBD7-CCE9431645EC}">
                              <a14:shadowObscured xmlns:a14="http://schemas.microsoft.com/office/drawing/2010/main"/>
                            </a:ext>
                          </a:extLst>
                        </pic:spPr>
                      </pic:pic>
                    </a:graphicData>
                  </a:graphic>
                </wp:inline>
              </w:drawing>
            </w:r>
          </w:p>
        </w:tc>
      </w:tr>
      <w:tr w:rsidR="002125F7" w14:paraId="52EF4030" w14:textId="77777777" w:rsidTr="00C572F8">
        <w:tc>
          <w:tcPr>
            <w:tcW w:w="9350" w:type="dxa"/>
          </w:tcPr>
          <w:p w14:paraId="334E03A9" w14:textId="005F9C8D" w:rsidR="002125F7" w:rsidRDefault="002125F7" w:rsidP="00C315AC">
            <w:pPr>
              <w:jc w:val="both"/>
            </w:pPr>
            <w:r>
              <w:t xml:space="preserve">(a) </w:t>
            </w:r>
            <w:r w:rsidR="00C572F8">
              <w:t>Spontaneous emission occurs when an atom decays into a lower-level state.</w:t>
            </w:r>
            <w:r>
              <w:t xml:space="preserve"> (c) </w:t>
            </w:r>
            <w:r>
              <w:t xml:space="preserve">An atom in its ground state absorbs the nearby photon but no emission is produced. </w:t>
            </w:r>
            <w:r>
              <w:t xml:space="preserve">(b) </w:t>
            </w:r>
            <w:r>
              <w:t>An atom in an excited state absorbs the nearby photon and there is emission that produces two photons</w:t>
            </w:r>
            <w:r w:rsidR="00C572F8">
              <w:t>.</w:t>
            </w:r>
          </w:p>
        </w:tc>
      </w:tr>
    </w:tbl>
    <w:p w14:paraId="109E2575" w14:textId="77777777" w:rsidR="002125F7" w:rsidRDefault="002125F7" w:rsidP="00C315AC">
      <w:pPr>
        <w:jc w:val="both"/>
      </w:pPr>
    </w:p>
    <w:p w14:paraId="2A1E4F71" w14:textId="67DA67A8" w:rsidR="002125F7" w:rsidRDefault="002125F7" w:rsidP="00C315AC">
      <w:pPr>
        <w:jc w:val="both"/>
      </w:pPr>
    </w:p>
    <w:p w14:paraId="42AF7869" w14:textId="77777777" w:rsidR="002125F7" w:rsidRDefault="002125F7" w:rsidP="002125F7">
      <w:pPr>
        <w:jc w:val="both"/>
      </w:pPr>
      <w:r>
        <w:t>Lasers require intense (white light) pumping to maintain the population inversion, because the lasing transition re-populates the ground state.</w:t>
      </w:r>
    </w:p>
    <w:p w14:paraId="40C78E6B" w14:textId="60AB304E" w:rsidR="002125F7" w:rsidRDefault="002125F7" w:rsidP="00C315AC">
      <w:pPr>
        <w:jc w:val="both"/>
      </w:pPr>
    </w:p>
    <w:p w14:paraId="22690A36" w14:textId="5F5ABDD8" w:rsidR="002125F7" w:rsidRDefault="002125F7" w:rsidP="00C315AC">
      <w:pPr>
        <w:jc w:val="both"/>
      </w:pPr>
      <w:r>
        <w:t>The number of levels (energy states) determines the pump efficiency. Three levels require more intense pumping while four level energy states can be more efficiently pumped since the lower level of the lasing transition is not the ground state. Only f</w:t>
      </w:r>
      <w:r>
        <w:t xml:space="preserve">our-level lasers provide </w:t>
      </w:r>
      <w:r>
        <w:rPr>
          <w:rStyle w:val="mt-color-ff0000"/>
        </w:rPr>
        <w:t>continuous output</w:t>
      </w:r>
      <w:r>
        <w:t xml:space="preserve">. </w:t>
      </w:r>
      <w:proofErr w:type="spellStart"/>
      <w:r>
        <w:t>HeNe</w:t>
      </w:r>
      <w:proofErr w:type="spellEnd"/>
      <w:r>
        <w:t xml:space="preserve"> and </w:t>
      </w:r>
      <w:proofErr w:type="spellStart"/>
      <w:proofErr w:type="gramStart"/>
      <w:r>
        <w:t>Nd:YAG</w:t>
      </w:r>
      <w:proofErr w:type="spellEnd"/>
      <w:proofErr w:type="gramEnd"/>
      <w:r>
        <w:t xml:space="preserve"> are common four-level lasers.</w:t>
      </w:r>
    </w:p>
    <w:p w14:paraId="3731E428" w14:textId="100AA076" w:rsidR="00EB599A" w:rsidRDefault="00EB599A" w:rsidP="00C315AC">
      <w:pPr>
        <w:jc w:val="both"/>
      </w:pPr>
    </w:p>
    <w:p w14:paraId="02BA7EC0" w14:textId="7D9A7382" w:rsidR="00EB599A" w:rsidRDefault="00EB599A" w:rsidP="00C315AC">
      <w:pPr>
        <w:jc w:val="both"/>
      </w:pPr>
      <w:r>
        <w:t xml:space="preserve">The </w:t>
      </w:r>
      <w:r w:rsidR="00B343C3">
        <w:t>ruby (</w:t>
      </w:r>
      <w:r w:rsidR="00B343C3" w:rsidRPr="00B343C3">
        <w:t>Cr3</w:t>
      </w:r>
      <w:proofErr w:type="gramStart"/>
      <w:r w:rsidR="00B343C3" w:rsidRPr="00B343C3">
        <w:t>+:Al</w:t>
      </w:r>
      <w:proofErr w:type="gramEnd"/>
      <w:r w:rsidR="00B343C3" w:rsidRPr="00B343C3">
        <w:t>2O3)</w:t>
      </w:r>
      <w:r w:rsidR="00B343C3">
        <w:t xml:space="preserve"> crystal gain medium is an example of a three-level laser used by </w:t>
      </w:r>
      <w:proofErr w:type="spellStart"/>
      <w:r w:rsidR="00B343C3">
        <w:t>Maiman</w:t>
      </w:r>
      <w:proofErr w:type="spellEnd"/>
      <w:r w:rsidR="00B343C3">
        <w:t xml:space="preserve"> for the first laser.</w:t>
      </w:r>
    </w:p>
    <w:p w14:paraId="7591FE07" w14:textId="7CCB45A1" w:rsidR="002125F7" w:rsidRDefault="002125F7" w:rsidP="00C315AC">
      <w:pPr>
        <w:jc w:val="both"/>
      </w:pPr>
    </w:p>
    <w:tbl>
      <w:tblPr>
        <w:tblStyle w:val="TableGrid"/>
        <w:tblW w:w="0" w:type="auto"/>
        <w:tblLook w:val="04A0" w:firstRow="1" w:lastRow="0" w:firstColumn="1" w:lastColumn="0" w:noHBand="0" w:noVBand="1"/>
      </w:tblPr>
      <w:tblGrid>
        <w:gridCol w:w="4675"/>
        <w:gridCol w:w="4675"/>
      </w:tblGrid>
      <w:tr w:rsidR="002125F7" w14:paraId="371633E5" w14:textId="77777777" w:rsidTr="002125F7">
        <w:tc>
          <w:tcPr>
            <w:tcW w:w="4675" w:type="dxa"/>
            <w:vAlign w:val="center"/>
          </w:tcPr>
          <w:p w14:paraId="401EA018" w14:textId="13E6E2DB" w:rsidR="002125F7" w:rsidRDefault="002125F7" w:rsidP="002125F7">
            <w:pPr>
              <w:jc w:val="center"/>
            </w:pPr>
            <w:r>
              <w:rPr>
                <w:noProof/>
              </w:rPr>
              <w:drawing>
                <wp:inline distT="0" distB="0" distL="0" distR="0" wp14:anchorId="46B2506C" wp14:editId="6791621C">
                  <wp:extent cx="1518789" cy="1828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8789" cy="1828800"/>
                          </a:xfrm>
                          <a:prstGeom prst="rect">
                            <a:avLst/>
                          </a:prstGeom>
                          <a:noFill/>
                          <a:ln>
                            <a:noFill/>
                          </a:ln>
                        </pic:spPr>
                      </pic:pic>
                    </a:graphicData>
                  </a:graphic>
                </wp:inline>
              </w:drawing>
            </w:r>
          </w:p>
        </w:tc>
        <w:tc>
          <w:tcPr>
            <w:tcW w:w="4675" w:type="dxa"/>
            <w:vAlign w:val="center"/>
          </w:tcPr>
          <w:p w14:paraId="71F09F25" w14:textId="0A14E82A" w:rsidR="002125F7" w:rsidRDefault="002125F7" w:rsidP="002125F7">
            <w:pPr>
              <w:jc w:val="center"/>
            </w:pPr>
            <w:r>
              <w:rPr>
                <w:noProof/>
              </w:rPr>
              <w:drawing>
                <wp:inline distT="0" distB="0" distL="0" distR="0" wp14:anchorId="27EDA71D" wp14:editId="114C87A7">
                  <wp:extent cx="1651244" cy="21945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244" cy="2194560"/>
                          </a:xfrm>
                          <a:prstGeom prst="rect">
                            <a:avLst/>
                          </a:prstGeom>
                          <a:noFill/>
                          <a:ln>
                            <a:noFill/>
                          </a:ln>
                        </pic:spPr>
                      </pic:pic>
                    </a:graphicData>
                  </a:graphic>
                </wp:inline>
              </w:drawing>
            </w:r>
          </w:p>
        </w:tc>
      </w:tr>
      <w:tr w:rsidR="002125F7" w14:paraId="282DA838" w14:textId="77777777" w:rsidTr="002125F7">
        <w:tc>
          <w:tcPr>
            <w:tcW w:w="4675" w:type="dxa"/>
            <w:vAlign w:val="center"/>
          </w:tcPr>
          <w:p w14:paraId="69D1AFEE" w14:textId="5E1DB098" w:rsidR="002125F7" w:rsidRPr="002125F7" w:rsidRDefault="002125F7" w:rsidP="002125F7">
            <w:pPr>
              <w:jc w:val="center"/>
              <w:rPr>
                <w:b/>
                <w:bCs/>
              </w:rPr>
            </w:pPr>
            <w:r w:rsidRPr="002125F7">
              <w:rPr>
                <w:b/>
                <w:bCs/>
              </w:rPr>
              <w:t>3 levels of lasing transitions</w:t>
            </w:r>
          </w:p>
        </w:tc>
        <w:tc>
          <w:tcPr>
            <w:tcW w:w="4675" w:type="dxa"/>
            <w:vAlign w:val="center"/>
          </w:tcPr>
          <w:p w14:paraId="2C573233" w14:textId="2B5F8FD0" w:rsidR="002125F7" w:rsidRPr="002125F7" w:rsidRDefault="002125F7" w:rsidP="002125F7">
            <w:pPr>
              <w:jc w:val="center"/>
              <w:rPr>
                <w:b/>
                <w:bCs/>
              </w:rPr>
            </w:pPr>
            <w:r w:rsidRPr="002125F7">
              <w:rPr>
                <w:b/>
                <w:bCs/>
              </w:rPr>
              <w:t>4</w:t>
            </w:r>
            <w:r w:rsidRPr="002125F7">
              <w:rPr>
                <w:b/>
                <w:bCs/>
              </w:rPr>
              <w:t xml:space="preserve"> levels of lasing transitions</w:t>
            </w:r>
          </w:p>
        </w:tc>
      </w:tr>
    </w:tbl>
    <w:p w14:paraId="1D3B31B1" w14:textId="77777777" w:rsidR="002125F7" w:rsidRDefault="002125F7" w:rsidP="00C315AC">
      <w:pPr>
        <w:jc w:val="both"/>
      </w:pPr>
    </w:p>
    <w:p w14:paraId="54A77F41" w14:textId="77777777" w:rsidR="006417E1" w:rsidRDefault="006417E1" w:rsidP="00C315AC">
      <w:pPr>
        <w:jc w:val="both"/>
      </w:pPr>
    </w:p>
    <w:p w14:paraId="31E254E7" w14:textId="35972DE2" w:rsidR="00EC6157" w:rsidRDefault="00EC6157" w:rsidP="00C315AC">
      <w:pPr>
        <w:jc w:val="both"/>
      </w:pPr>
      <w:r>
        <w:t xml:space="preserve">Light </w:t>
      </w:r>
      <w:r w:rsidR="006417E1">
        <w:t>amplification by stimulated emission of radiation (LASER)</w:t>
      </w:r>
      <w:r>
        <w:t xml:space="preserve"> </w:t>
      </w:r>
    </w:p>
    <w:p w14:paraId="724C1B5E" w14:textId="77777777" w:rsidR="00EC6157" w:rsidRDefault="00EC6157" w:rsidP="00C315AC">
      <w:pPr>
        <w:jc w:val="both"/>
      </w:pPr>
    </w:p>
    <w:p w14:paraId="5C6EC7D0" w14:textId="3EBF4D7B" w:rsidR="00EC6157" w:rsidRPr="00EC6157" w:rsidRDefault="00EC6157" w:rsidP="00C315AC">
      <w:pPr>
        <w:jc w:val="both"/>
        <w:rPr>
          <w:b/>
          <w:bCs/>
        </w:rPr>
      </w:pPr>
      <w:r w:rsidRPr="00EC6157">
        <w:rPr>
          <w:b/>
          <w:bCs/>
        </w:rPr>
        <w:t>Stimulated Emissions:</w:t>
      </w:r>
    </w:p>
    <w:p w14:paraId="4C0C402C" w14:textId="28B18FF1" w:rsidR="00EC6157" w:rsidRDefault="00EC6157" w:rsidP="00EC6157">
      <w:pPr>
        <w:pStyle w:val="ListParagraph"/>
        <w:numPr>
          <w:ilvl w:val="0"/>
          <w:numId w:val="2"/>
        </w:numPr>
        <w:jc w:val="both"/>
      </w:pPr>
      <w:r>
        <w:t>CASE 1: An atom does not absorb a photon in proximity and so the photon passes through the medium</w:t>
      </w:r>
    </w:p>
    <w:p w14:paraId="64A08563" w14:textId="77777777" w:rsidR="00EC6157" w:rsidRDefault="00EC6157" w:rsidP="00EC6157">
      <w:pPr>
        <w:pStyle w:val="ListParagraph"/>
        <w:numPr>
          <w:ilvl w:val="0"/>
          <w:numId w:val="2"/>
        </w:numPr>
        <w:jc w:val="both"/>
      </w:pPr>
      <w:r>
        <w:t xml:space="preserve">CASE 2: An atom in its ground state absorbs the nearby photon but no emission is produced. </w:t>
      </w:r>
    </w:p>
    <w:p w14:paraId="3EEBD69C" w14:textId="294E48CD" w:rsidR="00EC6157" w:rsidRDefault="00EC6157" w:rsidP="00EC6157">
      <w:pPr>
        <w:pStyle w:val="ListParagraph"/>
        <w:numPr>
          <w:ilvl w:val="0"/>
          <w:numId w:val="2"/>
        </w:numPr>
        <w:jc w:val="both"/>
      </w:pPr>
      <w:r>
        <w:t xml:space="preserve">CASE 3: An atom in an excited state absorbs the nearby photon and there is emission that produces two </w:t>
      </w:r>
      <w:proofErr w:type="gramStart"/>
      <w:r>
        <w:t>photons</w:t>
      </w:r>
      <w:proofErr w:type="gramEnd"/>
    </w:p>
    <w:p w14:paraId="3B4B9CA4" w14:textId="250FFCE5" w:rsidR="00B343C3" w:rsidRDefault="00B343C3" w:rsidP="00B343C3">
      <w:pPr>
        <w:jc w:val="both"/>
      </w:pPr>
    </w:p>
    <w:p w14:paraId="7165A86B" w14:textId="54AD1F85" w:rsidR="00B343C3" w:rsidRDefault="00B343C3" w:rsidP="00B343C3">
      <w:pPr>
        <w:jc w:val="center"/>
      </w:pPr>
      <w:r>
        <w:rPr>
          <w:noProof/>
        </w:rPr>
        <w:lastRenderedPageBreak/>
        <w:drawing>
          <wp:inline distT="0" distB="0" distL="0" distR="0" wp14:anchorId="178B5609" wp14:editId="1DA16BB1">
            <wp:extent cx="4442460" cy="2122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460" cy="2122170"/>
                    </a:xfrm>
                    <a:prstGeom prst="rect">
                      <a:avLst/>
                    </a:prstGeom>
                    <a:noFill/>
                    <a:ln>
                      <a:noFill/>
                    </a:ln>
                  </pic:spPr>
                </pic:pic>
              </a:graphicData>
            </a:graphic>
          </wp:inline>
        </w:drawing>
      </w:r>
    </w:p>
    <w:p w14:paraId="04B2BA8E" w14:textId="6D0FF09A" w:rsidR="002125F7" w:rsidRDefault="002125F7" w:rsidP="002125F7">
      <w:pPr>
        <w:jc w:val="both"/>
      </w:pPr>
    </w:p>
    <w:p w14:paraId="23BBDBE9" w14:textId="41F0226D" w:rsidR="00C315AC" w:rsidRDefault="00C315AC" w:rsidP="00C315AC">
      <w:pPr>
        <w:jc w:val="both"/>
      </w:pPr>
    </w:p>
    <w:p w14:paraId="313C2D38" w14:textId="155F2E34" w:rsidR="00C315AC" w:rsidRDefault="00972303" w:rsidP="00C315AC">
      <w:pPr>
        <w:jc w:val="both"/>
      </w:pPr>
      <w:r>
        <w:t>Gain Medium</w:t>
      </w:r>
    </w:p>
    <w:p w14:paraId="7F7C30EB" w14:textId="5AC089B0" w:rsidR="00972303" w:rsidRDefault="00972303" w:rsidP="00C315AC">
      <w:pPr>
        <w:jc w:val="both"/>
      </w:pPr>
      <w:r>
        <w:t>The gain medium is the major determining factor for the wavelength of operation.</w:t>
      </w:r>
    </w:p>
    <w:p w14:paraId="276F1B53" w14:textId="6C7818B0" w:rsidR="00972303" w:rsidRDefault="00972303" w:rsidP="00C315AC">
      <w:pPr>
        <w:jc w:val="both"/>
      </w:pPr>
    </w:p>
    <w:p w14:paraId="56581A76" w14:textId="495141B3" w:rsidR="00972303" w:rsidRDefault="00972303" w:rsidP="00C315AC">
      <w:pPr>
        <w:jc w:val="both"/>
      </w:pPr>
      <w:r>
        <w:t>Optical gain is the cascade rate of photon emission due to spontaneous and stimulated emission.</w:t>
      </w:r>
    </w:p>
    <w:p w14:paraId="4D5255B4" w14:textId="6AAEC6E2" w:rsidR="00C91E3A" w:rsidRDefault="00C91E3A" w:rsidP="00C315AC">
      <w:pPr>
        <w:jc w:val="both"/>
      </w:pPr>
    </w:p>
    <w:p w14:paraId="4E10CCE7" w14:textId="75919CF8" w:rsidR="00C91E3A" w:rsidRDefault="00C91E3A" w:rsidP="00C315A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675"/>
        <w:gridCol w:w="4675"/>
      </w:tblGrid>
      <w:tr w:rsidR="00C91E3A" w14:paraId="0B6C1366" w14:textId="77777777" w:rsidTr="00C91E3A">
        <w:tc>
          <w:tcPr>
            <w:tcW w:w="4675" w:type="dxa"/>
          </w:tcPr>
          <w:p w14:paraId="2CDAD44F" w14:textId="787B8FA1" w:rsidR="00C91E3A" w:rsidRDefault="00C91E3A" w:rsidP="00C315AC">
            <w:pPr>
              <w:jc w:val="both"/>
            </w:pPr>
            <w:r>
              <w:rPr>
                <w:noProof/>
              </w:rPr>
              <w:drawing>
                <wp:inline distT="0" distB="0" distL="0" distR="0" wp14:anchorId="10C53141" wp14:editId="205859D9">
                  <wp:extent cx="2962275" cy="2220595"/>
                  <wp:effectExtent l="0" t="0" r="952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2220595"/>
                          </a:xfrm>
                          <a:prstGeom prst="rect">
                            <a:avLst/>
                          </a:prstGeom>
                          <a:noFill/>
                          <a:ln>
                            <a:noFill/>
                          </a:ln>
                        </pic:spPr>
                      </pic:pic>
                    </a:graphicData>
                  </a:graphic>
                </wp:inline>
              </w:drawing>
            </w:r>
          </w:p>
        </w:tc>
        <w:tc>
          <w:tcPr>
            <w:tcW w:w="4675" w:type="dxa"/>
          </w:tcPr>
          <w:p w14:paraId="620F98F6" w14:textId="77F18202" w:rsidR="00C91E3A" w:rsidRDefault="00C91E3A" w:rsidP="00C315AC">
            <w:pPr>
              <w:jc w:val="both"/>
            </w:pPr>
            <w:r>
              <w:rPr>
                <w:noProof/>
              </w:rPr>
              <w:drawing>
                <wp:inline distT="0" distB="0" distL="0" distR="0" wp14:anchorId="12C4DF00" wp14:editId="4D98BF58">
                  <wp:extent cx="2962275" cy="2220595"/>
                  <wp:effectExtent l="0" t="0" r="952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275" cy="2220595"/>
                          </a:xfrm>
                          <a:prstGeom prst="rect">
                            <a:avLst/>
                          </a:prstGeom>
                          <a:noFill/>
                          <a:ln>
                            <a:noFill/>
                          </a:ln>
                        </pic:spPr>
                      </pic:pic>
                    </a:graphicData>
                  </a:graphic>
                </wp:inline>
              </w:drawing>
            </w:r>
          </w:p>
        </w:tc>
      </w:tr>
      <w:tr w:rsidR="00C91E3A" w14:paraId="3FD4A192" w14:textId="77777777" w:rsidTr="00C91E3A">
        <w:tc>
          <w:tcPr>
            <w:tcW w:w="4675" w:type="dxa"/>
          </w:tcPr>
          <w:p w14:paraId="3C7281DF" w14:textId="77777777" w:rsidR="00C91E3A" w:rsidRDefault="00C91E3A" w:rsidP="00C315AC">
            <w:pPr>
              <w:jc w:val="both"/>
            </w:pPr>
            <w:r w:rsidRPr="00C91E3A">
              <w:rPr>
                <w:b/>
                <w:bCs/>
              </w:rPr>
              <w:t>Laguerre-gaussian</w:t>
            </w:r>
            <w:r>
              <w:t xml:space="preserve"> – cylindrical transverse mode patterns </w:t>
            </w:r>
            <w:proofErr w:type="gramStart"/>
            <w:r>
              <w:t>TEM(</w:t>
            </w:r>
            <w:proofErr w:type="gramEnd"/>
            <w:r>
              <w:t>pl)</w:t>
            </w:r>
          </w:p>
          <w:p w14:paraId="16F09D1A" w14:textId="77777777" w:rsidR="000678CC" w:rsidRDefault="000678CC" w:rsidP="00C315AC">
            <w:pPr>
              <w:jc w:val="both"/>
            </w:pPr>
          </w:p>
          <w:p w14:paraId="4C30F776" w14:textId="6C1EBC53" w:rsidR="000678CC" w:rsidRDefault="000678CC" w:rsidP="00C315AC">
            <w:pPr>
              <w:jc w:val="both"/>
            </w:pPr>
            <w:r>
              <w:rPr>
                <w:rStyle w:val="texhtml"/>
                <w:i/>
                <w:iCs/>
              </w:rPr>
              <w:t>p</w:t>
            </w:r>
            <w:r>
              <w:t xml:space="preserve"> and </w:t>
            </w:r>
            <w:r>
              <w:rPr>
                <w:rStyle w:val="texhtml"/>
                <w:i/>
                <w:iCs/>
              </w:rPr>
              <w:t>l</w:t>
            </w:r>
            <w:r>
              <w:t xml:space="preserve"> are integers labeling the radial and angular mode orders</w:t>
            </w:r>
          </w:p>
        </w:tc>
        <w:tc>
          <w:tcPr>
            <w:tcW w:w="4675" w:type="dxa"/>
          </w:tcPr>
          <w:p w14:paraId="0EF1EE55" w14:textId="77777777" w:rsidR="00C91E3A" w:rsidRDefault="00C91E3A" w:rsidP="00C315AC">
            <w:pPr>
              <w:jc w:val="both"/>
            </w:pPr>
            <w:r w:rsidRPr="00C91E3A">
              <w:rPr>
                <w:b/>
                <w:bCs/>
              </w:rPr>
              <w:t>Hermite-gaussian</w:t>
            </w:r>
            <w:r>
              <w:t xml:space="preserve"> – Rectangular transverse mode patterns </w:t>
            </w:r>
            <w:proofErr w:type="gramStart"/>
            <w:r>
              <w:t>TEM(</w:t>
            </w:r>
            <w:proofErr w:type="spellStart"/>
            <w:proofErr w:type="gramEnd"/>
            <w:r>
              <w:t>mn</w:t>
            </w:r>
            <w:proofErr w:type="spellEnd"/>
            <w:r>
              <w:t>)</w:t>
            </w:r>
          </w:p>
          <w:p w14:paraId="248B03C4" w14:textId="77777777" w:rsidR="000678CC" w:rsidRDefault="000678CC" w:rsidP="00C315AC">
            <w:pPr>
              <w:jc w:val="both"/>
            </w:pPr>
          </w:p>
          <w:p w14:paraId="0D9247AE" w14:textId="632DBDBB" w:rsidR="000678CC" w:rsidRDefault="000678CC" w:rsidP="00C315AC">
            <w:pPr>
              <w:jc w:val="both"/>
            </w:pPr>
            <w:r>
              <w:rPr>
                <w:rStyle w:val="texhtml"/>
                <w:i/>
                <w:iCs/>
              </w:rPr>
              <w:t>m</w:t>
            </w:r>
            <w:r>
              <w:t xml:space="preserve"> and </w:t>
            </w:r>
            <w:r>
              <w:rPr>
                <w:rStyle w:val="texhtml"/>
                <w:i/>
                <w:iCs/>
              </w:rPr>
              <w:t>n</w:t>
            </w:r>
            <w:r>
              <w:t xml:space="preserve"> being the horizontal and vertical orders of the pattern</w:t>
            </w:r>
          </w:p>
        </w:tc>
      </w:tr>
    </w:tbl>
    <w:p w14:paraId="6E3FDB3D" w14:textId="22CAAAD3" w:rsidR="00C91E3A" w:rsidRDefault="00C91E3A" w:rsidP="00C315AC">
      <w:pPr>
        <w:jc w:val="both"/>
      </w:pPr>
    </w:p>
    <w:p w14:paraId="54081746" w14:textId="5571C23A" w:rsidR="00C91E3A" w:rsidRDefault="00C91E3A" w:rsidP="00C315AC">
      <w:pPr>
        <w:jc w:val="both"/>
      </w:pPr>
    </w:p>
    <w:p w14:paraId="08351732" w14:textId="22698925" w:rsidR="00C91E3A" w:rsidRDefault="00FB0F8D" w:rsidP="00C315AC">
      <w:pPr>
        <w:jc w:val="both"/>
      </w:pPr>
      <w:hyperlink r:id="rId11" w:history="1">
        <w:r w:rsidRPr="00F41358">
          <w:rPr>
            <w:rStyle w:val="Hyperlink"/>
          </w:rPr>
          <w:t>https://www.gentec-eo.com/blog/spot-size-of-laser-beam</w:t>
        </w:r>
      </w:hyperlink>
    </w:p>
    <w:p w14:paraId="071D9DFC" w14:textId="76481AFC" w:rsidR="00FB0F8D" w:rsidRDefault="00FB0F8D" w:rsidP="00C315AC">
      <w:pPr>
        <w:jc w:val="both"/>
      </w:pPr>
      <w:hyperlink r:id="rId12" w:history="1">
        <w:r w:rsidRPr="00F41358">
          <w:rPr>
            <w:rStyle w:val="Hyperlink"/>
          </w:rPr>
          <w:t>https://www.rp-photonics.com/mode_locked_lasers.html</w:t>
        </w:r>
      </w:hyperlink>
    </w:p>
    <w:p w14:paraId="2C8724C7" w14:textId="0D3C62D7" w:rsidR="00FB0F8D" w:rsidRDefault="00FB0F8D" w:rsidP="00C315AC">
      <w:pPr>
        <w:jc w:val="both"/>
      </w:pPr>
      <w:r w:rsidRPr="00FB0F8D">
        <w:t>https://www.rp-photonics.com/optical_resonators.html</w:t>
      </w:r>
    </w:p>
    <w:p w14:paraId="3E095A23" w14:textId="07D3CDB4" w:rsidR="00C91E3A" w:rsidRDefault="00C91E3A" w:rsidP="00C315AC">
      <w:pPr>
        <w:jc w:val="both"/>
      </w:pPr>
    </w:p>
    <w:p w14:paraId="638735D3" w14:textId="5528CBC6" w:rsidR="00C91E3A" w:rsidRDefault="00C91E3A" w:rsidP="00C315AC">
      <w:pPr>
        <w:jc w:val="both"/>
      </w:pPr>
    </w:p>
    <w:p w14:paraId="191E48E4" w14:textId="39DF2420" w:rsidR="00C91E3A" w:rsidRDefault="00C91E3A" w:rsidP="00C315AC">
      <w:pPr>
        <w:jc w:val="both"/>
      </w:pPr>
    </w:p>
    <w:p w14:paraId="4079BC89" w14:textId="1942B69A" w:rsidR="00C91E3A" w:rsidRDefault="00C91E3A" w:rsidP="00C315AC">
      <w:pPr>
        <w:jc w:val="both"/>
      </w:pPr>
    </w:p>
    <w:p w14:paraId="2F63FBD3" w14:textId="29C0AB3D" w:rsidR="00C91E3A" w:rsidRDefault="00C91E3A" w:rsidP="00C315AC">
      <w:pPr>
        <w:jc w:val="both"/>
      </w:pPr>
    </w:p>
    <w:p w14:paraId="5F7617FA" w14:textId="5082C356" w:rsidR="00C91E3A" w:rsidRDefault="00C91E3A" w:rsidP="00C315AC">
      <w:pPr>
        <w:jc w:val="both"/>
      </w:pPr>
    </w:p>
    <w:p w14:paraId="438C9B33" w14:textId="042ACF05" w:rsidR="00C91E3A" w:rsidRDefault="00C91E3A" w:rsidP="00C315AC">
      <w:pPr>
        <w:jc w:val="both"/>
      </w:pPr>
    </w:p>
    <w:p w14:paraId="79549DF9" w14:textId="3E3D4B46" w:rsidR="00C91E3A" w:rsidRDefault="00C91E3A" w:rsidP="00C315AC">
      <w:pPr>
        <w:jc w:val="both"/>
      </w:pPr>
    </w:p>
    <w:p w14:paraId="507D92F9" w14:textId="7C7C2C6D" w:rsidR="00C91E3A" w:rsidRDefault="00C91E3A" w:rsidP="00C315AC">
      <w:pPr>
        <w:jc w:val="both"/>
      </w:pPr>
    </w:p>
    <w:p w14:paraId="42C146DC" w14:textId="0BC84A1B" w:rsidR="00C91E3A" w:rsidRDefault="00C91E3A" w:rsidP="00C315AC">
      <w:pPr>
        <w:jc w:val="both"/>
      </w:pPr>
    </w:p>
    <w:p w14:paraId="1DCF9BAB" w14:textId="4093A8E4" w:rsidR="00C91E3A" w:rsidRDefault="00C91E3A" w:rsidP="00C315AC">
      <w:pPr>
        <w:jc w:val="both"/>
      </w:pPr>
    </w:p>
    <w:p w14:paraId="7BC30E63" w14:textId="050BEAD3" w:rsidR="00C91E3A" w:rsidRDefault="00C91E3A" w:rsidP="00C315AC">
      <w:pPr>
        <w:jc w:val="both"/>
      </w:pPr>
    </w:p>
    <w:p w14:paraId="353C41B2" w14:textId="63B12779" w:rsidR="00C91E3A" w:rsidRDefault="00C91E3A" w:rsidP="00C315AC">
      <w:pPr>
        <w:jc w:val="both"/>
      </w:pPr>
    </w:p>
    <w:p w14:paraId="1E4436AF" w14:textId="39F2965D" w:rsidR="00C91E3A" w:rsidRDefault="00C91E3A" w:rsidP="00C315AC">
      <w:pPr>
        <w:jc w:val="both"/>
      </w:pPr>
    </w:p>
    <w:p w14:paraId="2A7F4FDE" w14:textId="7127C891" w:rsidR="00C91E3A" w:rsidRDefault="00C91E3A" w:rsidP="00C315AC">
      <w:pPr>
        <w:jc w:val="both"/>
      </w:pPr>
    </w:p>
    <w:p w14:paraId="1E466979" w14:textId="0E49181C" w:rsidR="00C91E3A" w:rsidRDefault="00C91E3A" w:rsidP="00C315AC">
      <w:pPr>
        <w:jc w:val="both"/>
      </w:pPr>
    </w:p>
    <w:p w14:paraId="252E92C9" w14:textId="06C1EDBC" w:rsidR="00C91E3A" w:rsidRDefault="00C91E3A" w:rsidP="00C315AC">
      <w:pPr>
        <w:jc w:val="both"/>
      </w:pPr>
    </w:p>
    <w:p w14:paraId="58C9E810" w14:textId="77777777" w:rsidR="00C91E3A" w:rsidRDefault="00C91E3A" w:rsidP="00C315AC">
      <w:pPr>
        <w:jc w:val="both"/>
      </w:pPr>
    </w:p>
    <w:p w14:paraId="67458F72" w14:textId="729CE6D2" w:rsidR="00972303" w:rsidRDefault="00972303" w:rsidP="00C315AC">
      <w:pPr>
        <w:jc w:val="both"/>
      </w:pPr>
    </w:p>
    <w:p w14:paraId="08500166" w14:textId="73267178" w:rsidR="00972303" w:rsidRDefault="00972303" w:rsidP="00C315AC">
      <w:pPr>
        <w:jc w:val="both"/>
      </w:pPr>
      <w:r>
        <w:rPr>
          <w:noProof/>
        </w:rPr>
        <w:drawing>
          <wp:inline distT="0" distB="0" distL="0" distR="0" wp14:anchorId="034C2A8F" wp14:editId="393E31CA">
            <wp:extent cx="5943600" cy="2106930"/>
            <wp:effectExtent l="0" t="0" r="0" b="7620"/>
            <wp:docPr id="8" name="Picture 8" descr="Propagation of a Gaussian beam through a thin 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pagation of a Gaussian beam through a thin le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06930"/>
                    </a:xfrm>
                    <a:prstGeom prst="rect">
                      <a:avLst/>
                    </a:prstGeom>
                    <a:noFill/>
                    <a:ln>
                      <a:noFill/>
                    </a:ln>
                  </pic:spPr>
                </pic:pic>
              </a:graphicData>
            </a:graphic>
          </wp:inline>
        </w:drawing>
      </w:r>
    </w:p>
    <w:p w14:paraId="24DC0D85" w14:textId="763996E2" w:rsidR="00C253F4" w:rsidRDefault="00C253F4" w:rsidP="00C315AC">
      <w:pPr>
        <w:jc w:val="both"/>
      </w:pPr>
      <w:r>
        <w:rPr>
          <w:noProof/>
        </w:rPr>
        <w:drawing>
          <wp:inline distT="0" distB="0" distL="0" distR="0" wp14:anchorId="1BC053D5" wp14:editId="70E84A67">
            <wp:extent cx="5943600" cy="2012950"/>
            <wp:effectExtent l="0" t="0" r="0" b="6350"/>
            <wp:docPr id="9" name="Picture 9" descr="Experimental methodology for determining M-Squared value of a laser b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perimental methodology for determining M-Squared value of a laser be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12950"/>
                    </a:xfrm>
                    <a:prstGeom prst="rect">
                      <a:avLst/>
                    </a:prstGeom>
                    <a:noFill/>
                    <a:ln>
                      <a:noFill/>
                    </a:ln>
                  </pic:spPr>
                </pic:pic>
              </a:graphicData>
            </a:graphic>
          </wp:inline>
        </w:drawing>
      </w:r>
    </w:p>
    <w:sectPr w:rsidR="00C25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657D9"/>
    <w:multiLevelType w:val="hybridMultilevel"/>
    <w:tmpl w:val="E75C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10009"/>
    <w:multiLevelType w:val="hybridMultilevel"/>
    <w:tmpl w:val="2EEA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55"/>
    <w:rsid w:val="000678CC"/>
    <w:rsid w:val="002125F7"/>
    <w:rsid w:val="002C2271"/>
    <w:rsid w:val="003C26DC"/>
    <w:rsid w:val="006417E1"/>
    <w:rsid w:val="00683755"/>
    <w:rsid w:val="00972303"/>
    <w:rsid w:val="00B343C3"/>
    <w:rsid w:val="00C253F4"/>
    <w:rsid w:val="00C315AC"/>
    <w:rsid w:val="00C41BC7"/>
    <w:rsid w:val="00C572F8"/>
    <w:rsid w:val="00C91E3A"/>
    <w:rsid w:val="00DF5232"/>
    <w:rsid w:val="00EB599A"/>
    <w:rsid w:val="00EC6157"/>
    <w:rsid w:val="00FB0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142A"/>
  <w15:chartTrackingRefBased/>
  <w15:docId w15:val="{957FAEBB-B9FA-45E8-A5D6-7EFC993F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232"/>
    <w:pPr>
      <w:ind w:left="720"/>
      <w:contextualSpacing/>
    </w:pPr>
  </w:style>
  <w:style w:type="table" w:styleId="TableGrid">
    <w:name w:val="Table Grid"/>
    <w:basedOn w:val="TableNormal"/>
    <w:uiPriority w:val="39"/>
    <w:rsid w:val="002125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lor-ff0000">
    <w:name w:val="mt-color-ff0000"/>
    <w:basedOn w:val="DefaultParagraphFont"/>
    <w:rsid w:val="002125F7"/>
  </w:style>
  <w:style w:type="character" w:customStyle="1" w:styleId="texhtml">
    <w:name w:val="texhtml"/>
    <w:basedOn w:val="DefaultParagraphFont"/>
    <w:rsid w:val="000678CC"/>
  </w:style>
  <w:style w:type="character" w:styleId="Hyperlink">
    <w:name w:val="Hyperlink"/>
    <w:basedOn w:val="DefaultParagraphFont"/>
    <w:uiPriority w:val="99"/>
    <w:unhideWhenUsed/>
    <w:rsid w:val="00FB0F8D"/>
    <w:rPr>
      <w:color w:val="0563C1" w:themeColor="hyperlink"/>
      <w:u w:val="single"/>
    </w:rPr>
  </w:style>
  <w:style w:type="character" w:styleId="UnresolvedMention">
    <w:name w:val="Unresolved Mention"/>
    <w:basedOn w:val="DefaultParagraphFont"/>
    <w:uiPriority w:val="99"/>
    <w:semiHidden/>
    <w:unhideWhenUsed/>
    <w:rsid w:val="00FB0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46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p-photonics.com/mode_locked_laser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ntec-eo.com/blog/spot-size-of-laser-bea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Holle</dc:creator>
  <cp:keywords/>
  <dc:description/>
  <cp:lastModifiedBy>Ryan Holle</cp:lastModifiedBy>
  <cp:revision>10</cp:revision>
  <dcterms:created xsi:type="dcterms:W3CDTF">2021-04-11T23:41:00Z</dcterms:created>
  <dcterms:modified xsi:type="dcterms:W3CDTF">2021-04-12T04:07:00Z</dcterms:modified>
</cp:coreProperties>
</file>