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122"/>
          <w:sz-cs w:val="122"/>
          <w:spacing w:val="0"/>
          <w:color w:val="000000"/>
        </w:rPr>
        <w:t xml:space="preserve">Propuesta de Reto de Innovación</w:t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Participante: Rafael Bretón Gómez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Unidad / Área de servicio:[%Unidad_Área]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84"/>
          <w:sz-cs w:val="84"/>
          <w:spacing w:val="0"/>
          <w:color w:val="0E0E0E"/>
        </w:rPr>
        <w:t xml:space="preserve">TÍTULO:</w:t>
      </w:r>
    </w:p>
    <w:p>
      <w:pPr>
        <w:spacing w:after="580"/>
      </w:pP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Título del reto de Innovación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Integración de la planificación estratégica con la gestión presupuestaria y económica dentro del </w:t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Sistema de Gestión Integrada de Recursos Organizativos</w:t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 (GIRO)</w:t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 para conseguir, mediante la innovación en el registro y posterior interpretación de la información relativa a dicho planes, el aumento de los niveles transparencia real y mejorar empoderamiento de la ciudadanía.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Se sistematizaría la metodología de los planes estratégicos y/o leyes mediante: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Definición y grabación en GIRO de Objetivos Generales, Objetivos Específicos y Medidas, así como organismos o centro implicados.</w:t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Grabación en GIRO Estimación de asignación de partidas presupuestarias a Medias con grabación de puntos de registro (“commits”) para la generación de versiones. Esta relación tendría como un atributo la estimación presupuestaria de dicha asignación: relación N:M entre partidas presupuestarias y medidas del plan, con atributo la cantidad estimada.</w:t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Asignación de cada compromiso de gasto real y de cada pago ordenado realativo una medida. Esta relación tendría como un atributo la asignación real de dicha asignación: relación N:M entre documentos contables y medidas del plan, con atributo la cantidad estimada.</w:t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Registro en GIRO de los indicadores asociados a objetivos, tanto las previsiones iniciales como su evolución.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Las tareas de seguimiento de planes se realizarían en paralelo y de forma independiente a la actual fiscalización previa y la implantación sería progresiva. Se establecerían mecanismos de control sobre la adecuación de las asignaciones de partidas presupuestarias a medidas, tanto internos (la propia administración) como a través de la ciudadanía.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El prototipo ayudaría enormemente a comprobar la utilidad del modelo que es novedoso. (Modelo entidad relación, con cardinalidad NxM, entre medidas y presupuestos/gastos, control de versiones) 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84"/>
          <w:sz-cs w:val="84"/>
          <w:spacing w:val="0"/>
          <w:color w:val="0E0E0E"/>
        </w:rPr>
        <w:t xml:space="preserve">ÁMBITO:</w:t>
      </w:r>
    </w:p>
    <w:p>
      <w:pPr>
        <w:spacing w:after="580"/>
      </w:pP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Área de servicio de la Administración donde te gustaría desarrollarlo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Administración de la Junta de Andalucía.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Se desarrollaría desde la Consejería de Hacienda y Administración Pública (CHAP), afectando Centros Gestores (SV. Centrales), Dirección General de Planificación y Evaluación Consejo Transparencia, Unidades Transparencia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84"/>
          <w:sz-cs w:val="84"/>
          <w:spacing w:val="0"/>
          <w:color w:val="0E0E0E"/>
        </w:rPr>
        <w:t xml:space="preserve">DESCRIPCIÓN-RESUMEN:</w:t>
      </w:r>
    </w:p>
    <w:p>
      <w:pPr>
        <w:spacing w:after="580"/>
      </w:pP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Un resumen del reto propuesto que incluya: a) 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Oportunidad o problema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 a resolver (diagnóstico), b) 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Solución o enfoque innovador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 propuesto para abordar el reto, c) 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Impacto</w:t>
      </w: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 esperado/buscado.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1.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Oportunidades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Falta de alineación entre las planes estratégicos y leyes con la realidad presupuestaria. El presupuesto es anual y no recoge los planes; los planes no se reflejan todos los recursos. Los procedimientos basados en “intercambio electrónico de papeles”, no utilizan las virtudes de las nuevas tecnologías, siendo además poco eficientes.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De cara a la ciudadanía, falta de transparencia sobre repercusión, impacto y mecanismos de control de los planes estratégicos de la Junta de Andalucía.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Falta también un “bucle de realimentación” a los planes estratégicas basada en información concreta y transparente, y donde se contemplen todos los costes.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1.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Enfoque innovador.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Rediseño de abajo hacia arriba de la gestión de la planificación estratégica.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Integración del control de los planes estratégicos plenamente en la misma herramienta de control presupuestario y de gastos, usando un modelo de datos rediseñado.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Transparencia total en los planes estratégicos.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1.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Impacto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Cambio total en la transparencia de los planes estratégicos.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Control real sobre los planes efectividad de los planes estratégicos y, en definitiva, de los fondos públicos.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84"/>
          <w:sz-cs w:val="84"/>
          <w:spacing w:val="0"/>
          <w:color w:val="0E0E0E"/>
        </w:rPr>
        <w:t xml:space="preserve">EJECUCIÓN:</w:t>
      </w:r>
    </w:p>
    <w:p>
      <w:pPr>
        <w:spacing w:after="580"/>
      </w:pP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Intención a corto plazo de arrancar con el desarrollo del reto de innovación y soporte que necesitarías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Pendiente de reforzar vínculos estratégicos para hacer ver la utilidad de la herramienta. 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spacing w:after="580"/>
      </w:pP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Inicialmente se implantaría el módulo de previsión, posteriormente el de gasto y por último el de transparencia para la ciudadanía.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jc w:val="center"/>
        <w:spacing w:after="580"/>
      </w:pPr>
      <w:r>
        <w:rPr>
          <w:rFonts w:ascii="League Gothic" w:hAnsi="League Gothic" w:cs="League Gothic"/>
          <w:sz w:val="84"/>
          <w:sz-cs w:val="84"/>
          <w:spacing w:val="0"/>
          <w:color w:val="0E0E0E"/>
        </w:rPr>
        <w:t xml:space="preserve">OBSERVACIONES:</w:t>
      </w:r>
    </w:p>
    <w:p>
      <w:pPr>
        <w:spacing w:after="580"/>
      </w:pPr>
      <w:r>
        <w:rPr>
          <w:rFonts w:ascii="Merriweather" w:hAnsi="Merriweather" w:cs="Merriweather"/>
          <w:sz w:val="44"/>
          <w:sz-cs w:val="44"/>
          <w:spacing w:val="0"/>
          <w:color w:val="1A1A1A"/>
        </w:rPr>
        <w:t xml:space="preserve">Comentarios u observaciones adicionales que deseas añadir a la propuesta no contempladas en los apartados anteriores</w:t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Taxonomía de los planes estratégicos: Objetivos Generales, Objetivos Específicos, Medidas.</w:t>
        <w:br/>
        <w:t xml:space="preserve"/>
        <w:br/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Indicadores propios para los planes plurianuales.</w:t>
        <w:br/>
        <w:t xml:space="preserve"/>
        <w:br/>
        <w:t xml:space="preserve"/>
      </w:r>
    </w:p>
    <w:p>
      <w:pPr>
        <w:ind w:left="720" w:first-line="-720"/>
        <w:spacing w:after="58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El seguimiento sería paralelo e independiente a la fiscalización previa.</w:t>
        <w:br/>
        <w:t xml:space="preserve"/>
        <w:br/>
        <w:t xml:space="preserve"/>
      </w:r>
    </w:p>
    <w:p>
      <w:pPr>
        <w:ind w:left="720" w:first-line="-720"/>
      </w:pPr>
      <w:r>
        <w:rPr>
          <w:rFonts w:ascii="Merriweather" w:hAnsi="Merriweather" w:cs="Merriweather"/>
          <w:sz w:val="40"/>
          <w:sz-cs w:val="40"/>
          <w:color w:val="1A1A1A"/>
        </w:rPr>
        <w:t xml:space="preserve"/>
        <w:tab/>
        <w:t xml:space="preserve">◦</w:t>
        <w:tab/>
        <w:t xml:space="preserve"/>
      </w:r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>Modificación flexible de la asignación de proyectos y gastos a planes. Puntos de sincronización Mayor (aprobación plan) y Menores</w:t>
        <w:br/>
        <w:t xml:space="preserve"/>
        <w:br/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p>
      <w:pPr/>
      <w:r>
        <w:rPr>
          <w:rFonts w:ascii="Merriweather" w:hAnsi="Merriweather" w:cs="Merriweather"/>
          <w:sz w:val="40"/>
          <w:sz-cs w:val="40"/>
          <w:spacing w:val="0"/>
          <w:color w:val="1A1A1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individual para proponer Retos de Innovación.1</dc:title>
</cp:coreProperties>
</file>

<file path=docProps/meta.xml><?xml version="1.0" encoding="utf-8"?>
<meta xmlns="http://schemas.apple.com/cocoa/2006/metadata">
  <generator>CocoaOOXMLWriter/1504.82</generator>
</meta>
</file>