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80"/>
        <w:jc w:val="center"/>
      </w:pPr>
      <w:r>
        <w:rPr>
          <w:rFonts w:ascii="Arial" w:cs="Arial" w:eastAsia="Arial" w:hAnsi="Arial"/>
          <w:b/>
          <w:bCs/>
          <w:color w:val="0F2B5B"/>
          <w:sz w:val="72"/>
          <w:szCs w:val="72"/>
        </w:rPr>
        <w:t xml:space="preserve">ALPHA LENS</w:t>
      </w:r>
    </w:p>
    <w:p>
      <w:pPr>
        <w:spacing w:before="0" w:after="120"/>
        <w:jc w:val="center"/>
      </w:pPr>
      <w:r>
        <w:rPr>
          <w:rFonts w:ascii="Arial" w:cs="Arial" w:eastAsia="Arial" w:hAnsi="Arial"/>
          <w:color w:val="1A6FE0"/>
          <w:sz w:val="32"/>
          <w:szCs w:val="32"/>
        </w:rPr>
        <w:t xml:space="preserve">AI-Powered Global Investment Intelligence Platform</w:t>
      </w:r>
    </w:p>
    <w:p>
      <w:pPr>
        <w:spacing w:before="0" w:after="80"/>
        <w:jc w:val="center"/>
      </w:pPr>
      <w:r>
        <w:rPr>
          <w:rFonts w:ascii="Arial" w:cs="Arial" w:eastAsia="Arial" w:hAnsi="Arial"/>
          <w:color w:val="6B7280"/>
          <w:sz w:val="24"/>
          <w:szCs w:val="24"/>
        </w:rPr>
        <w:t xml:space="preserve">Product Requirements Document  v3.0  —  Full Global Specification</w:t>
      </w:r>
    </w:p>
    <w:p>
      <w:pPr>
        <w:spacing w:before="0" w:after="200"/>
        <w:jc w:val="center"/>
      </w:pPr>
      <w:r>
        <w:rPr>
          <w:rFonts w:ascii="Arial" w:cs="Arial" w:eastAsia="Arial" w:hAnsi="Arial"/>
          <w:color w:val="6B7280"/>
          <w:sz w:val="20"/>
          <w:szCs w:val="20"/>
        </w:rPr>
        <w:t xml:space="preserve">March 2026  ·  9 Asset Classes · 6 Trading Blocs · Adversarial Power Tracking · 40+ Commodity Markets · Global Real Estate</w:t>
      </w:r>
    </w:p>
    <w:p>
      <w:pPr>
        <w:spacing w:before="480" w:after="0"/>
      </w:pPr>
      <w:r>
        <w:t xml:space="preserve"/>
      </w:r>
    </w:p>
    <w:p>
      <w:r>
        <w:br w:type="page"/>
      </w:r>
    </w:p>
    <w:p>
      <w:pPr>
        <w:pStyle w:val="Heading1"/>
        <w:spacing w:before="360" w:after="160"/>
      </w:pPr>
      <w:r>
        <w:rPr>
          <w:rFonts w:ascii="Arial" w:cs="Arial" w:eastAsia="Arial" w:hAnsi="Arial"/>
          <w:b/>
          <w:bCs/>
          <w:color w:val="0F2B5B"/>
          <w:sz w:val="36"/>
          <w:szCs w:val="36"/>
        </w:rPr>
        <w:t xml:space="preserve">1. Executive Summary &amp; Scope Expansion</w:t>
      </w:r>
    </w:p>
    <w:p>
      <w:pPr>
        <w:spacing w:before="80" w:after="80"/>
      </w:pPr>
      <w:r>
        <w:rPr>
          <w:rFonts w:ascii="Arial" w:cs="Arial" w:eastAsia="Arial" w:hAnsi="Arial"/>
          <w:sz w:val="22"/>
          <w:szCs w:val="22"/>
        </w:rPr>
        <w:t xml:space="preserve">Alpha Lens v3.0 is a full-spectrum global investment intelligence platform. Building on the core AI probability engine, paper trading, live coaching, and scenario challenge modules of v2.0, this version adds comprehensive coverage across nine distinct asset classes, six major trading blocs, dedicated adversarial power intelligence tracking for China and Russia, forty-plus commodity markets, and global real estate signals across thirty-eight countries.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4FF" w:val="clear"/>
            <w:tcMar>
              <w:top w:type="dxa" w:w="120"/>
              <w:left w:type="dxa" w:w="180"/>
              <w:bottom w:type="dxa" w:w="120"/>
              <w:right w:type="dxa" w:w="180"/>
            </w:tcMar>
          </w:tcPr>
          <w:p>
            <w:pPr>
              <w:spacing w:before="0" w:after="60"/>
            </w:pPr>
            <w:r>
              <w:rPr>
                <w:rFonts w:ascii="Arial" w:cs="Arial" w:eastAsia="Arial" w:hAnsi="Arial"/>
                <w:b/>
                <w:bCs/>
                <w:color w:val="1A6FE0"/>
                <w:sz w:val="20"/>
                <w:szCs w:val="20"/>
              </w:rPr>
              <w:t xml:space="preserve">Platform Scope Statement</w:t>
            </w:r>
          </w:p>
          <w:p>
            <w:pPr>
              <w:spacing w:before="0" w:after="0"/>
            </w:pPr>
            <w:r>
              <w:rPr>
                <w:rFonts w:ascii="Arial" w:cs="Arial" w:eastAsia="Arial" w:hAnsi="Arial"/>
                <w:color w:val="333333"/>
                <w:sz w:val="20"/>
                <w:szCs w:val="20"/>
              </w:rPr>
              <w:t xml:space="preserve">Alpha Lens monitors, scores, and surfaces tradeable signals across: Energy, Metals &amp; Mining, Agriculture, Soft Commodities, Crypto, Global Equities, FX &amp; Rates, Real Estate, and Prediction Markets — with geopolitical intelligence from BRICS+, EU, APEC, Latin America, Africa, and the Middle East feeding every asset class simultaneously.</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1.1  What Is New in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4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What It Adds</w:t>
            </w:r>
          </w:p>
        </w:tc>
        <w:tc>
          <w:tcPr>
            <w:tcW w:type="dxa" w:w="3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Asset Classes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9-sector taxonomy with sources, signals, and AI scoring per sector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147 tracked assets across all classes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Adversarial Power Intelligence</w:t>
            </w:r>
          </w:p>
        </w:tc>
        <w:tc>
          <w:tcPr>
            <w:tcW w:type="dxa" w:w="4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Dedicated China and Russia signal protocols with shadow-economy tracking</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Alternative data: satellite, AIS, electricity proxy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Trading Blocs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BRICS+, EU, APEC, LatAm, Africa, MENA — full signal and asset maps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 blocs, 80+ member economies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Commodities Full Stack</w:t>
            </w:r>
          </w:p>
        </w:tc>
        <w:tc>
          <w:tcPr>
            <w:tcW w:type="dxa" w:w="4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Energy, precious metals, industrial metals, agriculture, softs, freight</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40+ commodities, exchange-by-exchange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Real Estate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residential/commercial, EU, Asia-Pacific, EM, RE debt signals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38 countries, 12 RE asset types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Cross-Asset Correlations</w:t>
            </w:r>
          </w:p>
        </w:tc>
        <w:tc>
          <w:tcPr>
            <w:tcW w:type="dxa" w:w="4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How geopolitical and macro signals ripple across all asset classes simultaneously</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Heat map + chain reaction engine</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2. Global Asset Class Architecture</w:t>
      </w:r>
    </w:p>
    <w:p>
      <w:pPr>
        <w:spacing w:before="80" w:after="80"/>
      </w:pPr>
      <w:r>
        <w:rPr>
          <w:rFonts w:ascii="Arial" w:cs="Arial" w:eastAsia="Arial" w:hAnsi="Arial"/>
          <w:sz w:val="22"/>
          <w:szCs w:val="22"/>
        </w:rPr>
        <w:t xml:space="preserve">Every asset class in Alpha Lens shares the same underlying AI scoring engine (E3), research agent (E2), and historical correlation module (E4). What differs is the signal taxonomy, data sources, and calibration parameters specific to each class. The AI coach narrates signals in the context of the relevant class mechanics.</w:t>
      </w:r>
    </w:p>
    <w:p>
      <w:pPr>
        <w:spacing w:before="80" w:after="0"/>
      </w:pPr>
      <w:r>
        <w:t xml:space="preserve"/>
      </w:r>
    </w:p>
    <w:p>
      <w:pPr>
        <w:pStyle w:val="Heading2"/>
        <w:spacing w:before="280" w:after="120"/>
      </w:pPr>
      <w:r>
        <w:rPr>
          <w:rFonts w:ascii="Arial" w:cs="Arial" w:eastAsia="Arial" w:hAnsi="Arial"/>
          <w:b/>
          <w:bCs/>
          <w:color w:val="1A6FE0"/>
          <w:sz w:val="28"/>
          <w:szCs w:val="28"/>
        </w:rPr>
        <w:t xml:space="preserve">2.1  The Nine Asset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Sector</w:t>
            </w:r>
          </w:p>
        </w:tc>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Assets Tracked</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Exchanges / Sources</w:t>
            </w:r>
          </w:p>
        </w:tc>
        <w:tc>
          <w:tcPr>
            <w:tcW w:type="dxa" w:w="27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Key AI Signal Type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Energy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WTI, Brent, TTF, JKM, Uranium, Coal, Carbon Credits (10 total)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NYMEX, ICE London, ICE Europe, EIA, OPEC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Geopolitical supply disruption, inventory data</w:t>
            </w:r>
          </w:p>
        </w:tc>
      </w:tr>
      <w:tr>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Metals &amp; Mining</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 Silver, Copper, Lithium, Cobalt, Rare Earths, Iron Ore (12 total)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COMEX, LME, SGX, Fastmarkets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demand proxy, EV supply chain, EM political stability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Agriculture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Wheat, Corn, Soybeans, Rice, Palm Oil, Sugar, Coffee, Cocoa (12 total)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CBOT, ICE, BMD Malaysia, TOCOM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USDA WASDE, weather patterns, export bans, conflict disruption</w:t>
            </w:r>
          </w:p>
        </w:tc>
      </w:tr>
      <w:tr>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Soft Commodities</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Lumber, Rubber, Freight (Baltic Dry), Container rates, LNG freight (10 total)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Baltic Exchange, Shanghai, Spark</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Shipping route disruption, Red Sea / Panama signals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Crypto &amp; Digital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BTC, ETH, SOL, BNB, XRP, ETF flows, DeFi TVL (10 total)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Glassnode, Deribit, Kaiko, CoinGecko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Halving cycles, ETF flows, on-chain supply, macro correlation</w:t>
            </w:r>
          </w:p>
        </w:tc>
      </w:tr>
      <w:tr>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Equities</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S&amp;P 500, DAX, Nikkei, Hang Seng, CSI 300, Sensex, Bovespa (14 total)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Bloomberg, Refinitiv, SEC EDGAR, local exchanges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Earnings catalyst, sector rotation, cross-listed ADR premium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FX &amp; Rates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DXY, EUR/USD, USD/JPY, CNH, EM currencies, 10Y UST, Bund (13 total)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BIS, CFTC COT, central banks, Bloomberg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 policy divergence, EM carry trade, capital control signals</w:t>
            </w:r>
          </w:p>
        </w:tc>
      </w:tr>
      <w:tr>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 Estate</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REITs, EU REITs, Asia-Pacific RE, EM property, CMBS (10 total)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CBRE, Case-Shiller, MSCI RE, CoStar, land registries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Mortgage rate transmission, office vacancy, SWF capital flows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Prediction Markets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Polymarket, Kalshi, Metaculus, Manifold (8 markets)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Polymarket API, Kalshi API, Metaculus API</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prob vs market price divergence, resolution rule analysis</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2.2  Cross-Asset Signal Routing</w:t>
      </w:r>
    </w:p>
    <w:p>
      <w:pPr>
        <w:spacing w:before="80" w:after="80"/>
      </w:pPr>
      <w:r>
        <w:rPr>
          <w:rFonts w:ascii="Arial" w:cs="Arial" w:eastAsia="Arial" w:hAnsi="Arial"/>
          <w:sz w:val="22"/>
          <w:szCs w:val="22"/>
        </w:rPr>
        <w:t xml:space="preserve">The critical architectural principle in v3.0 is that no signal is siloed to a single asset class. Every incoming piece of intelligence is routed to all asset classes for which it is relevant, with class-specific weighting. A Chinese PMI miss is not just a Hang Seng signal — it routes simultaneously to copper, iron ore, AUD/USD, Korean equities, and Australian real estate.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3CD" w:val="clear"/>
            <w:tcMar>
              <w:top w:type="dxa" w:w="120"/>
              <w:left w:type="dxa" w:w="180"/>
              <w:bottom w:type="dxa" w:w="120"/>
              <w:right w:type="dxa" w:w="180"/>
            </w:tcMar>
          </w:tcPr>
          <w:p>
            <w:pPr>
              <w:spacing w:before="0" w:after="60"/>
            </w:pPr>
            <w:r>
              <w:rPr>
                <w:rFonts w:ascii="Arial" w:cs="Arial" w:eastAsia="Arial" w:hAnsi="Arial"/>
                <w:b/>
                <w:bCs/>
                <w:color w:val="7A4A00"/>
                <w:sz w:val="20"/>
                <w:szCs w:val="20"/>
              </w:rPr>
              <w:t xml:space="preserve">Cross-Asset Chain Reaction Example</w:t>
            </w:r>
          </w:p>
          <w:p>
            <w:pPr>
              <w:spacing w:before="0" w:after="0"/>
            </w:pPr>
            <w:r>
              <w:rPr>
                <w:rFonts w:ascii="Arial" w:cs="Arial" w:eastAsia="Arial" w:hAnsi="Arial"/>
                <w:color w:val="333333"/>
                <w:sz w:val="20"/>
                <w:szCs w:val="20"/>
              </w:rPr>
              <w:t xml:space="preserve">A Houthi attack on a Red Sea tanker triggers: LNG freight (+high), Brent crude (+medium), container shipping rates (+high), Suez Canal fee loss → Egyptian pound pressure (bear), European TTF natural gas (+medium delayed), global inflation expectations (+low). All six of these flow through the same signal ingestion pipeline within 30 minutes of the event.</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3. Adversarial Power Intelligence — China &amp; Russia</w:t>
      </w:r>
    </w:p>
    <w:p>
      <w:pPr>
        <w:spacing w:before="80" w:after="80"/>
      </w:pPr>
      <w:r>
        <w:rPr>
          <w:rFonts w:ascii="Arial" w:cs="Arial" w:eastAsia="Arial" w:hAnsi="Arial"/>
          <w:sz w:val="22"/>
          <w:szCs w:val="22"/>
        </w:rPr>
        <w:t xml:space="preserve">China and Russia are treated as dedicated intelligence targets, not just as entries in a regional source list. Both states manipulate official statistics, operate parallel economic systems, and make market-moving decisions through opaque processes. Alpha Lens maintains separate signal protocols for each that cross-reference official data against alternative indicators.</w:t>
      </w:r>
    </w:p>
    <w:p>
      <w:pPr>
        <w:spacing w:before="80" w:after="0"/>
      </w:pPr>
      <w:r>
        <w:t xml:space="preserve"/>
      </w:r>
    </w:p>
    <w:p>
      <w:pPr>
        <w:pStyle w:val="Heading2"/>
        <w:spacing w:before="280" w:after="120"/>
      </w:pPr>
      <w:r>
        <w:rPr>
          <w:rFonts w:ascii="Arial" w:cs="Arial" w:eastAsia="Arial" w:hAnsi="Arial"/>
          <w:b/>
          <w:bCs/>
          <w:color w:val="1A6FE0"/>
          <w:sz w:val="28"/>
          <w:szCs w:val="28"/>
        </w:rPr>
        <w:t xml:space="preserve">3.1  China Intelligence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rPr>
          <w:tblHeader/>
        </w:trPr>
        <w:tc>
          <w:tcPr>
            <w:tcW w:type="dxa" w:w="2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Signal Category</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Sources</w:t>
            </w:r>
          </w:p>
        </w:tc>
        <w:tc>
          <w:tcPr>
            <w:tcW w:type="dxa" w:w="1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Quality</w:t>
            </w:r>
          </w:p>
        </w:tc>
        <w:tc>
          <w:tcPr>
            <w:tcW w:type="dxa" w:w="3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How AI Uses 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Official GDP &amp; output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NBS GDP, NBS industrial output, NBS PMI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Low-Med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Cross-reference against satellite and electricity data. Divergence is itself a signal.</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Alternative GDP proxy</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Satellite night-light activity, electricity consumption, cement/steel output, port throughput</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 Keqiang proxy: weight rail freight + electricity + bank loans over official GDP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 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customs import/export, PBOC reserve data, SWIFT CIPS volumes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CIPS volume growth = de-dollarization pace indicator</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Capital flow signals</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CNH/CNY spread, Stock Connect flows, Hong Kong IPO pipeline, offshore bond issuance</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Spread widening = capital control pressure; capital flight early warning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Corporate intelligence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Caixin PMI (private survey), earnings of SOEs, CSRC regulatory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Caixin vs NBS PMI divergence = manufacturing reality check</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Property market</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Evergrande / Country Garden debt status, new home prices (NBS 70-city), land auction results</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Property = 25-30% of China GDP; developer debt = systemic risk signal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Commodity demand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Iron ore port inventories, copper bonded warehouse, crude import data, LNG spot purchases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buys 60%+ of seaborne iron ore and 15% of global LNG — direct demand signal</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Geopolitical signals</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Taiwan Strait military activity, South China Sea incidents, Xinjiang sanctions, tech export controls</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Escalation risk premium: Taiwan insurance, shipping rerouting, semiconductor supply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DECEA" w:val="clear"/>
            <w:tcMar>
              <w:top w:type="dxa" w:w="120"/>
              <w:left w:type="dxa" w:w="180"/>
              <w:bottom w:type="dxa" w:w="120"/>
              <w:right w:type="dxa" w:w="180"/>
            </w:tcMar>
          </w:tcPr>
          <w:p>
            <w:pPr>
              <w:spacing w:before="0" w:after="60"/>
            </w:pPr>
            <w:r>
              <w:rPr>
                <w:rFonts w:ascii="Arial" w:cs="Arial" w:eastAsia="Arial" w:hAnsi="Arial"/>
                <w:b/>
                <w:bCs/>
                <w:color w:val="8B1A1A"/>
                <w:sz w:val="20"/>
                <w:szCs w:val="20"/>
              </w:rPr>
              <w:t xml:space="preserve">China Signal Rule</w:t>
            </w:r>
          </w:p>
          <w:p>
            <w:pPr>
              <w:spacing w:before="0" w:after="0"/>
            </w:pPr>
            <w:r>
              <w:rPr>
                <w:rFonts w:ascii="Arial" w:cs="Arial" w:eastAsia="Arial" w:hAnsi="Arial"/>
                <w:color w:val="333333"/>
                <w:sz w:val="20"/>
                <w:szCs w:val="20"/>
              </w:rPr>
              <w:t xml:space="preserve">Never use NBS data without a satellite cross-reference. The Li Keqiang proxy (40% electricity consumption + 35% rail freight volume + 25% bank loans) has historically been more accurate than official GDP growth numbers. When the two diverge by more than 1.5 percentage points, treat the divergence itself as the signal.</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3.2  Russia Intelligence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rPr>
          <w:tblHeader/>
        </w:trPr>
        <w:tc>
          <w:tcPr>
            <w:tcW w:type="dxa" w:w="2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Signal Category</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Sources</w:t>
            </w:r>
          </w:p>
        </w:tc>
        <w:tc>
          <w:tcPr>
            <w:tcW w:type="dxa" w:w="1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Quality</w:t>
            </w:r>
          </w:p>
        </w:tc>
        <w:tc>
          <w:tcPr>
            <w:tcW w:type="dxa" w:w="3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How AI Uses 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Oil export volumes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Kpler shadow fleet tracking, TankerTrackers AIS data, Indian refinery imports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 exports ~4.5M bbl/day; official data unavailable — Kpler is the primary source</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Shadow fleet tracking</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AIS transponder gaps, vessel age/flag/insurance status, port calls in UAE/India/China</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Transponder gaps = sanctions evasion; price discount to Brent = sanctions bite estimate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Gas flow 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ENTSOG pipeline data (daily), LNG tanker tracking from Sabetta/Yamal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Nord Stream replacement capacity; Ukrainian transit fees; Turkish Stream volumes</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Sanctions intelligence</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OFAC SDN list updates, EU sanctions packages, G7 price cap enforcement, secondary sanctions</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Every new package affects supply availability and price discount; compliance risk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Financial system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Ruble exchange rate, Russian sovereign bonds (OFZ), CBR reserve estimates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 stopped publishing full reserve data; estimate from gold purchases and bilateral trade</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War economy signals</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Defense sector employment, grain export volumes, fertilizer production, Ukrainian front movement</w:t>
            </w:r>
          </w:p>
        </w:tc>
        <w:tc>
          <w:tcPr>
            <w:tcW w:type="dxa" w:w="1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Grain and fertilizer are primary legal export channels; monitor volumes for economic pressure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Political signals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Kremlin statements, Duma legislation, Wagner/Shoigu dynamics, regional governor appointments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 as confirmation signals only; Russia manipulates official communications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3CD" w:val="clear"/>
            <w:tcMar>
              <w:top w:type="dxa" w:w="120"/>
              <w:left w:type="dxa" w:w="180"/>
              <w:bottom w:type="dxa" w:w="120"/>
              <w:right w:type="dxa" w:w="180"/>
            </w:tcMar>
          </w:tcPr>
          <w:p>
            <w:pPr>
              <w:spacing w:before="0" w:after="60"/>
            </w:pPr>
            <w:r>
              <w:rPr>
                <w:rFonts w:ascii="Arial" w:cs="Arial" w:eastAsia="Arial" w:hAnsi="Arial"/>
                <w:b/>
                <w:bCs/>
                <w:color w:val="7A4A00"/>
                <w:sz w:val="20"/>
                <w:szCs w:val="20"/>
              </w:rPr>
              <w:t xml:space="preserve">Russia Signal Rule</w:t>
            </w:r>
          </w:p>
          <w:p>
            <w:pPr>
              <w:spacing w:before="0" w:after="0"/>
            </w:pPr>
            <w:r>
              <w:rPr>
                <w:rFonts w:ascii="Arial" w:cs="Arial" w:eastAsia="Arial" w:hAnsi="Arial"/>
                <w:color w:val="333333"/>
                <w:sz w:val="20"/>
                <w:szCs w:val="20"/>
              </w:rPr>
              <w:t xml:space="preserve">Rosstat has been partially classified since 2022. The most reliable Russian economic signals are physical: satellite imagery of oil tankers, AIS vessel tracking, and trade data from India and China — who buy Russian exports at discounted prices. The discount rate itself (Urals vs Brent spread) is the best single proxy for sanctions effectiveness.</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4. Trading Blocs — Full Coverage Specification</w:t>
      </w:r>
    </w:p>
    <w:p>
      <w:pPr>
        <w:pStyle w:val="Heading2"/>
        <w:spacing w:before="280" w:after="120"/>
      </w:pPr>
      <w:r>
        <w:rPr>
          <w:rFonts w:ascii="Arial" w:cs="Arial" w:eastAsia="Arial" w:hAnsi="Arial"/>
          <w:b/>
          <w:bCs/>
          <w:color w:val="1A6FE0"/>
          <w:sz w:val="28"/>
          <w:szCs w:val="28"/>
        </w:rPr>
        <w:t xml:space="preserve">4.1  BRICS+ (Brazil, Russia, India, China, South Africa + 5 new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Members (2024)</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 Russia, India, China, South Africa (founding) + Egypt, Iran, UAE, Ethiopia, Saudi Arabia (2024)</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Combined GDP</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$26 trillion — 36% of global GDP at PPP; growing share vs G7</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Key market signal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De-dollarization pace: track CIPS volumes + central bank gold purchases (World Gold Council monthly)</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Tradeable assets</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CNH, INR/USD, BRL/USD, ZAR/USD, Gold, Russian ESPO crude, Indian equities, Brazilian commodities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New Development Bank reports, BRICS+ summit communiqués, PBOC reserve data, CIPS transaction volumes, AidData Belt and Road tracker</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coach note</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De-dollarization is real but slow. CIPS processes ~$100B/day vs SWIFT's ~$5T/day. Track the ratio — not the narrative.</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4.2  European 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Scope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27 member states; Euro Area 20 + non-euro 7; ECB controls monetary policy for Euro Area</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stress indicator</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BTP-Bund spread (Italian vs German 10Y yield). &gt;250bps = fiscal credibility risk. Track daily.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Key data 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ECB minutes, Eurostat HICP, ZEW/IFO surveys, PMI Composite, EU Commission forecasts, TARGET2 imbalances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Tradeable assets</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EUR/USD, Bund, Euro Stoxx 50, DAX, CAC 40, TTF Natural Gas, EU Carbon Credits (ETS), FTSE MIB</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Geopolitical signals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 gas dependence (post-2022 restructuring), EU Green Deal policy, NATO burden sharing, France-Germany fiscal divergence</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4.3  APEC (21 economies — 60% of global GDP)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Key early-warning signal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AUD/USD — Australia exports 35% of goods to China; AUD leads Chinese PMI data by days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Tradeable assets</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AUD/USD, JPY/USD, NZD/USD, KOSPI, ASX 200, Hang Seng, Nikkei 225, MSCI Asia-Pacific, SGD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risk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US-China decoupling, Taiwan Strait military escalation, DPRK missile tests, ASEAN supply chain relocation</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Key sources</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APEC PSU, Asian Development Bank, ASEAN+3 AMRO, BOJ, RBA, Korean MOTIE, AIIB project pipeline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Japanese yen signal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BOJ yield curve control policy changes are the single most globally impactful APEC policy signal — JPY carry trade unwind affects all risk assets</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4.4  Latin America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Key signal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MXN/USD — best real-time proxy for US-Mexico trade relations; moves before equity markets on tariff news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Lithium signal</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CLP/USD (Chilean peso) = best liquid proxy for lithium market sentiment. Chile + Argentina hold 60%+ of global reserves.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Tradeable assets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BRL/USD, MXN/USD, CLP/USD, ARS (distressed), Bovespa, Petrobras ADR, Vale (iron ore / nickel), Lithium ETFs (BATT, LIT)</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Political risk calendar</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 Lula energy policy → Petrobras; Mexico: nearshoring tariff risk; Argentina: peso crisis / IMF negotiations; Chile: lithium nationalization risk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Banco Central do Brasil, INEGI Mexico, ECLAC, Inter-American Development Bank, Bloomberg Línea, Infobae</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4.5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Information edge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African signals appear in local sources 24–48 hours before Reuters/Bloomberg. Local monitoring is a systematic advantage.</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 commodity signals</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Libya NOC field status (oil); DRC government on cobalt/coltan; Nigerian NNPC production; South African Eskom load-shedding (platinum mining)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Tradeable assets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ZAR/USD (EM proxy), Platinum, Palladium, Cobalt, Copper, Cocoa (Ghana/Ivory Coast), Gold (Ghana/Mali)</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AfCFTA signal</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African Continental Free Trade Area integration pace — long-term demand signal for intra-African infrastructure and logistics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African Development Bank, SARB, Nigerian NNPC, Libya NOC, UN Panel of Experts (Libya/DRC/Sudan), Daily Maverick, Premium Times, AllAfrica</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4.6  Middle East / MENA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Market dominance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Controls 48% of proven global oil reserves; GCC sovereign wealth funds manage $3.5T in assets</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Best early-warning signal</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Saudi Aramco Official Selling Price (OSP) — monthly release precedes OPEC+ decisions by 2–4 weeks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 conflict signals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Houthi Red Sea attacks (Lloyd's war-risk premiums daily); Israel-Gaza escalation (Iran proxy activity); Strait of Hormuz closure risk</w:t>
            </w:r>
          </w:p>
        </w:tc>
      </w:tr>
      <w:tr>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Sovereign wealth signal</w:t>
            </w:r>
          </w:p>
        </w:tc>
        <w:tc>
          <w:tcPr>
            <w:tcW w:type="dxa" w:w="7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UAE ADIA / ADQ, Saudi PIF, Qatar QIA — equity deployment patterns signal global risk appetite among Gulf states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OPEC Secretariat, IEA MENA reports, Saudi Aramco IR, IAEA Iran nuclear monitoring, Lloyd's war-risk, Al Jazeera Arabic + English, Jerusalem Post</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5. Commodity Markets — Full Stack</w:t>
      </w:r>
    </w:p>
    <w:p>
      <w:pPr>
        <w:spacing w:before="80" w:after="80"/>
      </w:pPr>
      <w:r>
        <w:rPr>
          <w:rFonts w:ascii="Arial" w:cs="Arial" w:eastAsia="Arial" w:hAnsi="Arial"/>
          <w:sz w:val="22"/>
          <w:szCs w:val="22"/>
        </w:rPr>
        <w:t xml:space="preserve">Commodities are the most geopolitically sensitive asset class. Every commodity price is decomposed by the AI into its component drivers: geopolitical supply disruption, fundamental supply/demand, weather/climate, and speculative positioning. Each component gets its own weight and decay speed.</w:t>
      </w:r>
    </w:p>
    <w:p>
      <w:pPr>
        <w:spacing w:before="80" w:after="0"/>
      </w:pPr>
      <w:r>
        <w:t xml:space="preserve"/>
      </w:r>
    </w:p>
    <w:p>
      <w:pPr>
        <w:pStyle w:val="Heading2"/>
        <w:spacing w:before="280" w:after="120"/>
      </w:pPr>
      <w:r>
        <w:rPr>
          <w:rFonts w:ascii="Arial" w:cs="Arial" w:eastAsia="Arial" w:hAnsi="Arial"/>
          <w:b/>
          <w:bCs/>
          <w:color w:val="1A6FE0"/>
          <w:sz w:val="28"/>
          <w:szCs w:val="28"/>
        </w:rPr>
        <w:t xml:space="preserve">5.1  Energy Commodities (see v2.0 for full energy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2800"/>
        <w:gridCol w:w="2760"/>
      </w:tblGrid>
      <w:tr>
        <w:trPr>
          <w:tblHeader/>
        </w:trPr>
        <w:tc>
          <w:tcPr>
            <w:tcW w:type="dxa" w:w="16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Ticker</w:t>
            </w:r>
          </w:p>
        </w:tc>
        <w:tc>
          <w:tcPr>
            <w:tcW w:type="dxa" w:w="14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Exchange</w:t>
            </w:r>
          </w:p>
        </w:tc>
        <w:tc>
          <w:tcPr>
            <w:tcW w:type="dxa" w:w="2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AI Signal</w:t>
            </w:r>
          </w:p>
        </w:tc>
        <w:tc>
          <w:tcPr>
            <w:tcW w:type="dxa" w:w="27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Geopolitical Driver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WTI Crude</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NYMEX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EIA inventory Wednesday 10:30 ET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OPEC+ cuts, US shale response, Iran sanctions</w:t>
            </w:r>
          </w:p>
        </w:tc>
      </w:tr>
      <w:tr>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Brent Crude</w:t>
            </w:r>
          </w:p>
        </w:tc>
        <w:tc>
          <w:tcPr>
            <w:tcW w:type="dxa" w:w="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ICE London</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Kpler satellite tanker flows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Houthi Red Sea, Hormuz risk, Russian grades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TTF Natural Gas</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TTF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ICE Europe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ENTSOG pipeline flows daily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Russian pipeline cuts, Norwegian outages</w:t>
            </w:r>
          </w:p>
        </w:tc>
      </w:tr>
      <w:tr>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JKM (Asian LNG)</w:t>
            </w:r>
          </w:p>
        </w:tc>
        <w:tc>
          <w:tcPr>
            <w:tcW w:type="dxa" w:w="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JKM</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Platts</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Asian LNG spot demand</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Japan nuclear restarts, Chinese import volumes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Uranium</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Nuclear plant capacity additions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Nuclear policy reversals — Germany, Japan</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5.2  Metals — Precious and Industrial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16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Exchange</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AI Signal</w:t>
            </w:r>
          </w:p>
        </w:tc>
        <w:tc>
          <w:tcPr>
            <w:tcW w:type="dxa" w:w="27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Key Geopolitical Link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COMEX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DXY inverse, central bank buying (WGC monthly)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BRICS+ de-dollarization — central banks buying at record pace (2022–2024)</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Copper</w:t>
            </w:r>
          </w:p>
        </w:tc>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COMEX / LME</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Caixin PMI manufacturing</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 55% of global copper demand; Chilean peso = proxy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Lithium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Fastmarkets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 sales data + Chile/Argentina political news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Nationalization risk in Chile/Argentina; Chinese processing dominance</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Cobalt</w:t>
            </w:r>
          </w:p>
        </w:tc>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LME</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DRC government stability reports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DRC = 70% of global cobalt; conflict = supply disruption within days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Palladium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NYMEX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South African platinum group metals output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 = 40% of global palladium; sanctions create structural supply gap</w:t>
            </w:r>
          </w:p>
        </w:tc>
      </w:tr>
      <w:tr>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Rare Earth Elements</w:t>
            </w:r>
          </w:p>
        </w:tc>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SHFE (China)</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Chinese export quota announcements</w:t>
            </w:r>
          </w:p>
        </w:tc>
        <w:tc>
          <w:tcPr>
            <w:tcW w:type="dxa" w:w="27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controls 85% of processing; export restrictions = immediate supply shock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Iron 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SGX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Chinese steel production and inventory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 70% of seaborne imports; port inventory = real-time demand signal</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5.3  Agriculture — The Conflict-Sensitive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6F4F0" w:val="clear"/>
            <w:tcMar>
              <w:top w:type="dxa" w:w="120"/>
              <w:left w:type="dxa" w:w="180"/>
              <w:bottom w:type="dxa" w:w="120"/>
              <w:right w:type="dxa" w:w="180"/>
            </w:tcMar>
          </w:tcPr>
          <w:p>
            <w:pPr>
              <w:spacing w:before="0" w:after="60"/>
            </w:pPr>
            <w:r>
              <w:rPr>
                <w:rFonts w:ascii="Arial" w:cs="Arial" w:eastAsia="Arial" w:hAnsi="Arial"/>
                <w:b/>
                <w:bCs/>
                <w:color w:val="0B6E4F"/>
                <w:sz w:val="20"/>
                <w:szCs w:val="20"/>
              </w:rPr>
              <w:t xml:space="preserve">Why Agriculture Is Geopolitically Critical</w:t>
            </w:r>
          </w:p>
          <w:p>
            <w:pPr>
              <w:spacing w:before="0" w:after="0"/>
            </w:pPr>
            <w:r>
              <w:rPr>
                <w:rFonts w:ascii="Arial" w:cs="Arial" w:eastAsia="Arial" w:hAnsi="Arial"/>
                <w:color w:val="333333"/>
                <w:sz w:val="20"/>
                <w:szCs w:val="20"/>
              </w:rPr>
              <w:t xml:space="preserve">Ukraine and Russia together supply 30% of global wheat, 20% of global corn, and 75% of global sunflower oil. Any Black Sea shipping disruption, harvest failure, or export ban cascades into food price inflation in MENA and Sub-Saharan Africa — which historically correlates with political instability and social unrest in those regions. The AI must explicitly model food-to-political-risk transmission.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14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Exchange</w:t>
            </w:r>
          </w:p>
        </w:tc>
        <w:tc>
          <w:tcPr>
            <w:tcW w:type="dxa" w:w="2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Data Source</w:t>
            </w:r>
          </w:p>
        </w:tc>
        <w:tc>
          <w:tcPr>
            <w:tcW w:type="dxa" w:w="33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Key Geopolitical Signal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Wheat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CBOT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USDA WASDE (monthly)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Ukraine corridor status, Black Sea shipping, Russian export tax</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Corn</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CBOT</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USDA crop condition (weekly)</w:t>
            </w:r>
          </w:p>
        </w:tc>
        <w:tc>
          <w:tcPr>
            <w:tcW w:type="dxa" w:w="3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drought (La Niña), Ukraine harvest, Brazil Safrinha crop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Soybeans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CBOT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CONAB Brazil estimates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demand (soy = main China protein feed), Brazil weather</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Rice</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CBOT</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FAO rice price index</w:t>
            </w:r>
          </w:p>
        </w:tc>
        <w:tc>
          <w:tcPr>
            <w:tcW w:type="dxa" w:w="3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export ban policy — India = 40% of global rice exports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Palm Oil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BMD Malaysia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Indonesia / Malaysia export policy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Indonesia = 60% of global palm oil; export ban risk</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Sugar</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ICE</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 ethanol parity ratio</w:t>
            </w:r>
          </w:p>
        </w:tc>
        <w:tc>
          <w:tcPr>
            <w:tcW w:type="dxa" w:w="3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 sugarcane = 40% of global supply; ethanol demand competes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Coffee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Brazilian frost events, Vietnamese harvest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 = 30% of global arabica; Vietnam = 15% of robusta</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Cocoa</w:t>
            </w:r>
          </w:p>
        </w:tc>
        <w:tc>
          <w:tcPr>
            <w:tcW w:type="dxa" w:w="1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ICE</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Ghana COCOBOD / Ivory Coast CCC crop data</w:t>
            </w:r>
          </w:p>
        </w:tc>
        <w:tc>
          <w:tcPr>
            <w:tcW w:type="dxa" w:w="3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West Africa = 75% of global supply; child labor sanctions risk</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5.4  Freight &amp; Shipping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1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Exchange</w:t>
            </w:r>
          </w:p>
        </w:tc>
        <w:tc>
          <w:tcPr>
            <w:tcW w:type="dxa" w:w="3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Measures</w:t>
            </w:r>
          </w:p>
        </w:tc>
        <w:tc>
          <w:tcPr>
            <w:tcW w:type="dxa" w:w="25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Current Status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Baltic Dry Index (BDI)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Baltic Exchange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Dry bulk shipping cost — iron ore, coal, grain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trade volume proxy; leads commodity imports by 2–4 weeks</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Shanghai Container Index (SCFI)</w:t>
            </w:r>
          </w:p>
        </w:tc>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Shanghai Exchange</w:t>
            </w:r>
          </w:p>
        </w:tc>
        <w:tc>
          <w:tcPr>
            <w:tcW w:type="dxa" w:w="3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Container shipping from China to all destinations</w:t>
            </w:r>
          </w:p>
        </w:tc>
        <w:tc>
          <w:tcPr>
            <w:tcW w:type="dxa" w:w="2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 Sea rerouting has added 15–20% to transoceanic container costs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VLCC Spot Rate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Very Large Crude Carrier daily rates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Houthi attacks pushed Middle East-Europe routes to Cape of Good Hope</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Spark LNG Freight</w:t>
            </w:r>
          </w:p>
        </w:tc>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Spark Commodities</w:t>
            </w:r>
          </w:p>
        </w:tc>
        <w:tc>
          <w:tcPr>
            <w:tcW w:type="dxa" w:w="3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LNG tanker rates (TFDE vessels)</w:t>
            </w:r>
          </w:p>
        </w:tc>
        <w:tc>
          <w:tcPr>
            <w:tcW w:type="dxa" w:w="2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JKM-TTF spread widening drives rerouting and freight spikes</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6. Global Real Estate Intelligence</w:t>
      </w:r>
    </w:p>
    <w:p>
      <w:pPr>
        <w:spacing w:before="80" w:after="80"/>
      </w:pPr>
      <w:r>
        <w:rPr>
          <w:rFonts w:ascii="Arial" w:cs="Arial" w:eastAsia="Arial" w:hAnsi="Arial"/>
          <w:sz w:val="22"/>
          <w:szCs w:val="22"/>
        </w:rPr>
        <w:t xml:space="preserve">Real estate is tracked as an asset class with three distinct signal layers: fundamental (supply/demand, demographics, income growth), financial (interest rates, credit availability, cap rate compression), and geopolitical (sovereign wealth fund flows, sanctions-driven capital flight, political risk in key markets).</w:t>
      </w:r>
    </w:p>
    <w:p>
      <w:pPr>
        <w:spacing w:before="80" w:after="0"/>
      </w:pPr>
      <w:r>
        <w:t xml:space="preserve"/>
      </w:r>
    </w:p>
    <w:p>
      <w:pPr>
        <w:pStyle w:val="Heading2"/>
        <w:spacing w:before="280" w:after="120"/>
      </w:pPr>
      <w:r>
        <w:rPr>
          <w:rFonts w:ascii="Arial" w:cs="Arial" w:eastAsia="Arial" w:hAnsi="Arial"/>
          <w:b/>
          <w:bCs/>
          <w:color w:val="1A6FE0"/>
          <w:sz w:val="28"/>
          <w:szCs w:val="28"/>
        </w:rPr>
        <w:t xml:space="preserve">6.1  US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60"/>
        <w:gridCol w:w="2000"/>
      </w:tblGrid>
      <w:tr>
        <w:trPr>
          <w:tblHeader/>
        </w:trPr>
        <w:tc>
          <w:tcPr>
            <w:tcW w:type="dxa" w:w="1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Key Indicators</w:t>
            </w:r>
          </w:p>
        </w:tc>
        <w:tc>
          <w:tcPr>
            <w:tcW w:type="dxa" w:w="25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AI Signals</w:t>
            </w:r>
          </w:p>
        </w:tc>
        <w:tc>
          <w:tcPr>
            <w:tcW w:type="dxa" w:w="2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Data Sources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Residential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Case-Shiller 20-city, 30Y mortgage rate, Existing home sales, Building permits, NAHB sentiment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Fed funds rate → 30Y mortgage transmission; Millennial household formation wave; Inventory months of supply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Case-Shiller, NAR, Census Bureau, Freddie Mac, FRED</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Office / Commercial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CBRE office vacancy rate, CoStar occupancy, CMBS delinquency rate, cap rate trends</w:t>
            </w:r>
          </w:p>
        </w:tc>
        <w:tc>
          <w:tcPr>
            <w:tcW w:type="dxa" w:w="2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WFH persistence — structural demand destruction; Regional bank exposure to office CMBS; Refinancing wall 2024–2026</w:t>
            </w:r>
          </w:p>
        </w:tc>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CBRE, CoStar, Trepp, Green Street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Industrial / Logistics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Industrial REIT cap rates, e-commerce penetration, port-adjacent vacancy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E-commerce secular growth; Nearshoring supply chain buildout (Mexico/Southeast 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CBRE, Prologis earnings, JLL</w:t>
            </w:r>
          </w:p>
        </w:tc>
      </w:tr>
      <w:tr>
        <w:tc>
          <w:tcPr>
            <w:tcW w:type="dxa" w:w="1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Centers</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Absorption rates, power availability, hyperscaler capex commitments</w:t>
            </w:r>
          </w:p>
        </w:tc>
        <w:tc>
          <w:tcPr>
            <w:tcW w:type="dxa" w:w="2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infrastructure buildout — Microsoft, Google, Meta GPU cluster announcements drive data center demand directly</w:t>
            </w:r>
          </w:p>
        </w:tc>
        <w:tc>
          <w:tcPr>
            <w:tcW w:type="dxa" w:w="2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CBRE, JLL, Digital Bridge, hyperscaler 10-K filings</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6.2  International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4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Key Markets</w:t>
            </w:r>
          </w:p>
        </w:tc>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Signal</w:t>
            </w:r>
          </w:p>
        </w:tc>
        <w:tc>
          <w:tcPr>
            <w:tcW w:type="dxa" w:w="23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Geopolitical Factor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Europe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UK, Germany, France, Nordics, Spain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ECB rate hike transmission to mortgage rates; German Energiewende building retrofit costs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UK post-Brexit capital flows; EU Green Deal building standards compliance costs</w:t>
            </w:r>
          </w:p>
        </w:tc>
      </w:tr>
      <w:tr>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Asia-Pacific</w:t>
            </w:r>
          </w:p>
        </w:tc>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Hong Kong, Singapore, Tokyo, Sydney, Seoul</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BOJ policy normalization → Japanese REIT impact; China property crisis contagion</w:t>
            </w:r>
          </w:p>
        </w:tc>
        <w:tc>
          <w:tcPr>
            <w:tcW w:type="dxa" w:w="2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Hong Kong capital flight signal (CNH spread); China Evergrande echo — developer debt systemic risk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Middle East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Dubai, Abu Dhabi, Riyadh, Doha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Gulf SWF capital deployment; Golden visa inflows; Oil revenue recycling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Russia-Ukraine wealth flight to Dubai; Sanctions-driven capital seeking neutral markets</w:t>
            </w:r>
          </w:p>
        </w:tc>
      </w:tr>
      <w:tr>
        <w:tc>
          <w:tcPr>
            <w:tcW w:type="dxa" w:w="16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Latin America</w:t>
            </w:r>
          </w:p>
        </w:tc>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São Paulo, Mexico City, Bogotá, Lima</w:t>
            </w:r>
          </w:p>
        </w:tc>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Brazilian SELIC rate; Nearshoring industrial demand Mexico; Chile lithium wealth effect</w:t>
            </w:r>
          </w:p>
        </w:tc>
        <w:tc>
          <w:tcPr>
            <w:tcW w:type="dxa" w:w="2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Argentine capital flight; Political risk premium in resource-dependent markets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Nairobi, Lagos, Johannesburg, Cairo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African Development Bank infrastructure funding; Mobile money adoption → formal property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DRC/Nigeria security conditions; Egypt Suez revenue → budget for infrastructure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4FF" w:val="clear"/>
            <w:tcMar>
              <w:top w:type="dxa" w:w="120"/>
              <w:left w:type="dxa" w:w="180"/>
              <w:bottom w:type="dxa" w:w="120"/>
              <w:right w:type="dxa" w:w="180"/>
            </w:tcMar>
          </w:tcPr>
          <w:p>
            <w:pPr>
              <w:spacing w:before="0" w:after="60"/>
            </w:pPr>
            <w:r>
              <w:rPr>
                <w:rFonts w:ascii="Arial" w:cs="Arial" w:eastAsia="Arial" w:hAnsi="Arial"/>
                <w:b/>
                <w:bCs/>
                <w:color w:val="1A6FE0"/>
                <w:sz w:val="20"/>
                <w:szCs w:val="20"/>
              </w:rPr>
              <w:t xml:space="preserve">Data Center RE — The AI-Driven Opportunity</w:t>
            </w:r>
          </w:p>
          <w:p>
            <w:pPr>
              <w:spacing w:before="0" w:after="0"/>
            </w:pPr>
            <w:r>
              <w:rPr>
                <w:rFonts w:ascii="Arial" w:cs="Arial" w:eastAsia="Arial" w:hAnsi="Arial"/>
                <w:color w:val="333333"/>
                <w:sz w:val="20"/>
                <w:szCs w:val="20"/>
              </w:rPr>
              <w:t xml:space="preserve">Data centers are the fastest-growing real estate sub-sector globally. Every AI model training run requires massive compute — and compute requires physical space with power and cooling. Microsoft, Google, and Meta capex announcements are direct leading indicators for data center REIT demand. Track hyperscaler 10-K filings and earnings call guidance as primary data center RE signals.</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7. Cross-Asset Correlation Engine</w:t>
      </w:r>
    </w:p>
    <w:p>
      <w:pPr>
        <w:spacing w:before="80" w:after="80"/>
      </w:pPr>
      <w:r>
        <w:rPr>
          <w:rFonts w:ascii="Arial" w:cs="Arial" w:eastAsia="Arial" w:hAnsi="Arial"/>
          <w:sz w:val="22"/>
          <w:szCs w:val="22"/>
        </w:rPr>
        <w:t xml:space="preserve">The most powerful capability in Alpha Lens is the ability to identify how a single geopolitical or macro event ripples across multiple asset classes simultaneously. The Cross-Asset Correlation Engine (CACE) maintains a live map of these relationships and routes every incoming signal to all relevant asset classes with calibrated impact weights.</w:t>
      </w:r>
    </w:p>
    <w:p>
      <w:pPr>
        <w:spacing w:before="80" w:after="0"/>
      </w:pPr>
      <w:r>
        <w:t xml:space="preserve"/>
      </w:r>
    </w:p>
    <w:p>
      <w:pPr>
        <w:pStyle w:val="Heading2"/>
        <w:spacing w:before="280" w:after="120"/>
      </w:pPr>
      <w:r>
        <w:rPr>
          <w:rFonts w:ascii="Arial" w:cs="Arial" w:eastAsia="Arial" w:hAnsi="Arial"/>
          <w:b/>
          <w:bCs/>
          <w:color w:val="1A6FE0"/>
          <w:sz w:val="28"/>
          <w:szCs w:val="28"/>
        </w:rPr>
        <w:t xml:space="preserve">7.1  Key Correlation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360"/>
      </w:tblGrid>
      <w:tr>
        <w:trPr>
          <w:tblHeader/>
        </w:trPr>
        <w:tc>
          <w:tcPr>
            <w:tcW w:type="dxa" w:w="24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Signal Event</w:t>
            </w:r>
          </w:p>
        </w:tc>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Impact</w:t>
            </w:r>
          </w:p>
        </w:tc>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Secondary Impact</w:t>
            </w:r>
          </w:p>
        </w:tc>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Tertiary Impact</w:t>
            </w:r>
          </w:p>
        </w:tc>
        <w:tc>
          <w:tcPr>
            <w:tcW w:type="dxa" w:w="3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Typical Lag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 PMI miss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Copper −5–8%, Iron Ore −6%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AUD/USD −1.5–2.5%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KOSPI −1%, ASX 200 −0.8%</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0–4 hrs</w:t>
            </w:r>
          </w:p>
        </w:tc>
      </w:tr>
      <w:tr>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Fed rate hike surprise</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 −1–2%, US REITs −2–3%</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 currencies −2–4%</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Bitcoin −3–5%</w:t>
            </w:r>
          </w:p>
        </w:tc>
        <w:tc>
          <w:tcPr>
            <w:tcW w:type="dxa" w:w="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Immediate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Houthi Red Sea attack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LNG freight +8–15%, Brent +2–4%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Container rates +3–5%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 TTF gas +1–2% (delayed)</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2–6 hrs</w:t>
            </w:r>
          </w:p>
        </w:tc>
      </w:tr>
      <w:tr>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OPEC+ surprise cut</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Brent +4–6%, WTI +4–5%</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Airlines sector −2–3%</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 oil exporters +1–2%</w:t>
            </w:r>
          </w:p>
        </w:tc>
        <w:tc>
          <w:tcPr>
            <w:tcW w:type="dxa" w:w="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Immediate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 escalation (energy)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TTF Natural Gas +10–25%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EUR/USD −1–2%, DAX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 +0.5–1.5%</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0–2 hrs</w:t>
            </w:r>
          </w:p>
        </w:tc>
      </w:tr>
      <w:tr>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DXY strengthens (+1%)</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Commodities broad −0.5–1%</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 equities −1–2%</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 −0.8–1.2%</w:t>
            </w:r>
          </w:p>
        </w:tc>
        <w:tc>
          <w:tcPr>
            <w:tcW w:type="dxa" w:w="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0–4 hrs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export ban (rice)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Rice futures +8–15%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ASEAN food inflation signal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African food security risk</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24–48 hrs</w:t>
            </w:r>
          </w:p>
        </w:tc>
      </w:tr>
      <w:tr>
        <w:tc>
          <w:tcPr>
            <w:tcW w:type="dxa" w:w="24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Taiwan Strait escalation</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TSM −10–20%, Semiconductor ETFs −5%</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logistics re-routing</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Gold, JPY safe-haven bid</w:t>
            </w:r>
          </w:p>
        </w:tc>
        <w:tc>
          <w:tcPr>
            <w:tcW w:type="dxa" w:w="3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Immediate</w:t>
            </w:r>
          </w:p>
        </w:tc>
      </w:tr>
    </w:tbl>
    <w:p>
      <w:pPr>
        <w:spacing w:before="80" w:after="0"/>
      </w:pPr>
      <w:r>
        <w:t xml:space="preserve"/>
      </w:r>
    </w:p>
    <w:p>
      <w:pPr>
        <w:pStyle w:val="Heading2"/>
        <w:spacing w:before="280" w:after="120"/>
      </w:pPr>
      <w:r>
        <w:rPr>
          <w:rFonts w:ascii="Arial" w:cs="Arial" w:eastAsia="Arial" w:hAnsi="Arial"/>
          <w:b/>
          <w:bCs/>
          <w:color w:val="1A6FE0"/>
          <w:sz w:val="28"/>
          <w:szCs w:val="28"/>
        </w:rPr>
        <w:t xml:space="preserve">7.2  Multilingual Source Advantage</w:t>
      </w:r>
    </w:p>
    <w:p>
      <w:pPr>
        <w:spacing w:before="80" w:after="80"/>
      </w:pPr>
      <w:r>
        <w:rPr>
          <w:rFonts w:ascii="Arial" w:cs="Arial" w:eastAsia="Arial" w:hAnsi="Arial"/>
          <w:sz w:val="22"/>
          <w:szCs w:val="22"/>
        </w:rPr>
        <w:t xml:space="preserve">One of the most systematically underexploited information advantages in global markets is local-language news coverage. Al Jazeera Arabic consistently covers Middle Eastern events 24–48 hours before English-language wire services. Xinhua reveals Chinese policy signals in Mandarin before English translations appear. The AI research agent must ingest and translate primary-language sources as a structural edge — not as a nice-to-have.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4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Primary Language Sources</w:t>
            </w:r>
          </w:p>
        </w:tc>
        <w:tc>
          <w:tcPr>
            <w:tcW w:type="dxa" w:w="21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Typical Lead Time vs English Media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Middle East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 Jazeera Arabic, Saudi Gazette Arabic edition, Iran Press TV Farsi</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24–48 hours on regional military and energy events</w:t>
            </w:r>
          </w:p>
        </w:tc>
      </w:tr>
      <w:tr>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China</w:t>
            </w:r>
          </w:p>
        </w:tc>
        <w:tc>
          <w:tcPr>
            <w:tcW w:type="dxa" w:w="4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Xinhua (official, treat with caution), Caixin Chinese edition, Chinese social media (Weibo sentiment)</w:t>
            </w:r>
          </w:p>
        </w:tc>
        <w:tc>
          <w:tcPr>
            <w:tcW w:type="dxa" w:w="2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12–36 hours on domestic policy and economic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Russia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RT Russian, Vedomosti, Kommersant (business daily)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12–24 hours on domestic economic policy; propaganda filter required</w:t>
            </w:r>
          </w:p>
        </w:tc>
      </w:tr>
      <w:tr>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Latin America</w:t>
            </w:r>
          </w:p>
        </w:tc>
        <w:tc>
          <w:tcPr>
            <w:tcW w:type="dxa" w:w="4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Folha de S.Paulo (Brazil), El Financiero (Mexico), La Nación (Argentina)</w:t>
            </w:r>
          </w:p>
        </w:tc>
        <w:tc>
          <w:tcPr>
            <w:tcW w:type="dxa" w:w="2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12–24 hours on local political and commodity events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Africa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Premium Times Nigeria, Daily Maverick South Africa, The East African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24–72 hours on resource sector events vs Western media</w:t>
            </w:r>
          </w:p>
        </w:tc>
      </w:tr>
      <w:tr>
        <w:tc>
          <w:tcPr>
            <w:tcW w:type="dxa" w:w="30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Europe</w:t>
            </w:r>
          </w:p>
        </w:tc>
        <w:tc>
          <w:tcPr>
            <w:tcW w:type="dxa" w:w="4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Der Spiegel (Germany), Les Echos (France), Il Sole 24 Ore (Italy)</w:t>
            </w:r>
          </w:p>
        </w:tc>
        <w:tc>
          <w:tcPr>
            <w:tcW w:type="dxa" w:w="21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6–12 hours on EU policy and sovereign debt signals</w:t>
            </w:r>
          </w:p>
        </w:tc>
      </w:tr>
    </w:tbl>
    <w:p>
      <w:pPr>
        <w:spacing w:before="80" w:after="0"/>
      </w:pPr>
      <w:r>
        <w:t xml:space="preserve"/>
      </w:r>
    </w:p>
    <w:p>
      <w:pPr>
        <w:pStyle w:val="Heading1"/>
        <w:spacing w:before="360" w:after="160"/>
      </w:pPr>
      <w:r>
        <w:rPr>
          <w:rFonts w:ascii="Arial" w:cs="Arial" w:eastAsia="Arial" w:hAnsi="Arial"/>
          <w:b/>
          <w:bCs/>
          <w:color w:val="0F2B5B"/>
          <w:sz w:val="36"/>
          <w:szCs w:val="36"/>
        </w:rPr>
        <w:t xml:space="preserve">8. Updated Roadmap — v3.0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rPr>
          <w:tblHeader/>
        </w:trPr>
        <w:tc>
          <w:tcPr>
            <w:tcW w:type="dxa" w:w="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356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New v3.0 Work</w:t>
            </w:r>
          </w:p>
        </w:tc>
        <w:tc>
          <w:tcPr>
            <w:tcW w:type="dxa" w:w="2800"/>
            <w:tcBorders>
              <w:top w:val="single" w:color="CBD5E1" w:sz="1"/>
              <w:left w:val="single" w:color="CBD5E1" w:sz="1"/>
              <w:bottom w:val="single" w:color="CBD5E1" w:sz="1"/>
              <w:right w:val="single" w:color="CBD5E1" w:sz="1"/>
            </w:tcBorders>
            <w:shd w:fill="0F2B5B" w:val="clear"/>
            <w:tcMar>
              <w:top w:type="dxa" w:w="100"/>
              <w:left w:type="dxa" w:w="140"/>
              <w:bottom w:type="dxa" w:w="100"/>
              <w:right w:type="dxa" w:w="140"/>
            </w:tcMar>
          </w:tcPr>
          <w:p>
            <w:r>
              <w:rPr>
                <w:rFonts w:ascii="Arial" w:cs="Arial" w:eastAsia="Arial" w:hAnsi="Arial"/>
                <w:b/>
                <w:bCs/>
                <w:color w:val="FFFFFF"/>
                <w:sz w:val="20"/>
                <w:szCs w:val="20"/>
              </w:rPr>
              <w:t xml:space="preserve">Existing Work</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Odds Terminal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Add 9-sector asset taxonomy; initial commodity and FX ingestion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E1, E2, E3 core; Screens 1–2</w:t>
            </w:r>
          </w:p>
        </w:tc>
      </w:tr>
      <w:tr>
        <w:tc>
          <w:tcPr>
            <w:tcW w:type="dxa" w:w="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Learning Module</w:t>
            </w:r>
          </w:p>
        </w:tc>
        <w:tc>
          <w:tcPr>
            <w:tcW w:type="dxa" w:w="3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Commodity and RE case studies; BRICS+ and adversarial power tutorial paths</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Paper trading; beginner scenarios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Coach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Cross-asset signal routing; multilingual source ingestion; China/Russia shadow signals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 gauge UI; signal taxonomy</w:t>
            </w:r>
          </w:p>
        </w:tc>
      </w:tr>
      <w:tr>
        <w:tc>
          <w:tcPr>
            <w:tcW w:type="dxa" w:w="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4</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Correlation</w:t>
            </w:r>
          </w:p>
        </w:tc>
        <w:tc>
          <w:tcPr>
            <w:tcW w:type="dxa" w:w="3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CACE cross-asset correlation engine; bloc-level aggregation; geopolitical risk heatmap</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E4 historical correlation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Execution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Multi-asset live trading: Polymarket + equities + crypto + commodity futures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E5 portfolio/risk; jurisdiction gating</w:t>
            </w:r>
          </w:p>
        </w:tc>
      </w:tr>
      <w:tr>
        <w:tc>
          <w:tcPr>
            <w:tcW w:type="dxa" w:w="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6</w:t>
            </w:r>
          </w:p>
        </w:tc>
        <w:tc>
          <w:tcPr>
            <w:tcW w:type="dxa" w:w="22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SaaS Product</w:t>
            </w:r>
          </w:p>
        </w:tc>
        <w:tc>
          <w:tcPr>
            <w:tcW w:type="dxa" w:w="356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Sector-specific subscription tiers; API for institutional users; white-label for bloc-specific products</w:t>
            </w:r>
          </w:p>
        </w:tc>
        <w:tc>
          <w:tcPr>
            <w:tcW w:type="dxa" w:w="2800"/>
            <w:tcBorders>
              <w:top w:val="single" w:color="CBD5E1" w:sz="1"/>
              <w:left w:val="single" w:color="CBD5E1" w:sz="1"/>
              <w:bottom w:val="single" w:color="CBD5E1" w:sz="1"/>
              <w:right w:val="single" w:color="CBD5E1" w:sz="1"/>
            </w:tcBorders>
            <w:shd w:fill="EEF4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Multi-tenancy; Builder Program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4FF" w:val="clear"/>
            <w:tcMar>
              <w:top w:type="dxa" w:w="120"/>
              <w:left w:type="dxa" w:w="180"/>
              <w:bottom w:type="dxa" w:w="120"/>
              <w:right w:type="dxa" w:w="180"/>
            </w:tcMar>
          </w:tcPr>
          <w:p>
            <w:pPr>
              <w:spacing w:before="0" w:after="60"/>
            </w:pPr>
            <w:r>
              <w:rPr>
                <w:rFonts w:ascii="Arial" w:cs="Arial" w:eastAsia="Arial" w:hAnsi="Arial"/>
                <w:b/>
                <w:bCs/>
                <w:color w:val="1A6FE0"/>
                <w:sz w:val="20"/>
                <w:szCs w:val="20"/>
              </w:rPr>
              <w:t xml:space="preserve">Bottom Line — v3.0 Scope</w:t>
            </w:r>
          </w:p>
          <w:p>
            <w:pPr>
              <w:spacing w:before="0" w:after="0"/>
            </w:pPr>
            <w:r>
              <w:rPr>
                <w:rFonts w:ascii="Arial" w:cs="Arial" w:eastAsia="Arial" w:hAnsi="Arial"/>
                <w:color w:val="333333"/>
                <w:sz w:val="20"/>
                <w:szCs w:val="20"/>
              </w:rPr>
              <w:t xml:space="preserve">Alpha Lens is now a genuine global intelligence terminal — not a US-centric prediction market tool. The adversarial power tracking (China satellite proxies, Russian shadow fleet), the multilingual source ingestion, and the cross-asset correlation engine are the three capabilities that create the most durable competitive moat. These cannot be replicated quickly by a competitor because they require months of data history and model calibration to be useful.</w:t>
            </w:r>
          </w:p>
        </w:tc>
      </w:tr>
    </w:tbl>
    <w:p>
      <w:pPr>
        <w:spacing w:before="160" w:after="0"/>
      </w:pPr>
      <w:r>
        <w:t xml:space="preserve"/>
      </w:r>
    </w:p>
    <w:p>
      <w:pPr>
        <w:jc w:val="center"/>
      </w:pPr>
      <w:r>
        <w:rPr>
          <w:rFonts w:ascii="Arial" w:cs="Arial" w:eastAsia="Arial" w:hAnsi="Arial"/>
          <w:i/>
          <w:iCs/>
          <w:color w:val="6B7280"/>
          <w:sz w:val="20"/>
          <w:szCs w:val="20"/>
        </w:rPr>
        <w:t xml:space="preserve">— Alpha Lens PRD v3.0  ·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E0" w:sz="4" w:space="2"/>
      </w:pBdr>
      <w:tabs>
        <w:tab w:val="right" w:pos="9360"/>
      </w:tabs>
    </w:pPr>
    <w:r>
      <w:rPr>
        <w:rFonts w:ascii="Arial" w:cs="Arial" w:eastAsia="Arial" w:hAnsi="Arial"/>
        <w:color w:val="6B7280"/>
        <w:sz w:val="16"/>
        <w:szCs w:val="16"/>
      </w:rPr>
      <w:t xml:space="preserve">Confidential  ·  March 2026</w:t>
    </w:r>
    <w:r>
      <w:rPr>
        <w:rFonts w:ascii="Arial" w:cs="Arial" w:eastAsia="Arial" w:hAnsi="Arial"/>
        <w:color w:val="6B7280"/>
        <w:sz w:val="16"/>
        <w:szCs w:val="16"/>
      </w:rPr>
      <w:t xml:space="preserve">	Alpha Lens PRD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E0" w:sz="4" w:space="2"/>
      </w:pBdr>
    </w:pPr>
    <w:r>
      <w:rPr>
        <w:rFonts w:ascii="Arial" w:cs="Arial" w:eastAsia="Arial" w:hAnsi="Arial"/>
        <w:b/>
        <w:bCs/>
        <w:color w:val="0F2B5B"/>
        <w:sz w:val="18"/>
        <w:szCs w:val="18"/>
      </w:rPr>
      <w:t xml:space="preserve">ALPHA LENS  </w:t>
    </w:r>
    <w:r>
      <w:rPr>
        <w:rFonts w:ascii="Arial" w:cs="Arial" w:eastAsia="Arial" w:hAnsi="Arial"/>
        <w:color w:val="6B7280"/>
        <w:sz w:val="18"/>
        <w:szCs w:val="18"/>
      </w:rPr>
      <w:t xml:space="preserve">Global Investment Intelligence Platform  ·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6FE0" w:sz="4" w:space="4"/>
      </w:pBdr>
      <w:spacing w:before="360" w:after="160"/>
      <w:outlineLvl w:val="0"/>
    </w:pPr>
    <w:rPr>
      <w:rFonts w:ascii="Arial" w:cs="Arial" w:eastAsia="Arial" w:hAnsi="Arial"/>
      <w:b/>
      <w:bCs/>
      <w:color w:val="0F2B5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6FE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2026-03-26T03:01:09.599Z</dcterms:created>
  <dcterms:modified xsi:type="dcterms:W3CDTF">2026-03-26T03:01:09.600Z</dcterms:modified>
</cp:coreProperties>
</file>

<file path=docProps/custom.xml><?xml version="1.0" encoding="utf-8"?>
<Properties xmlns="http://schemas.openxmlformats.org/officeDocument/2006/custom-properties" xmlns:vt="http://schemas.openxmlformats.org/officeDocument/2006/docPropsVTypes"/>
</file>